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E1F31">
      <w:pPr>
        <w:pStyle w:val="4"/>
        <w:spacing w:before="7"/>
        <w:ind w:left="455" w:leftChars="207" w:right="447" w:rightChars="203"/>
        <w:jc w:val="center"/>
        <w:rPr>
          <w:rFonts w:asciiTheme="majorEastAsia" w:hAnsiTheme="majorEastAsia" w:eastAsiaTheme="majorEastAsia" w:cstheme="minorBidi"/>
          <w:b/>
          <w:bCs/>
          <w:kern w:val="2"/>
          <w:sz w:val="44"/>
          <w:szCs w:val="44"/>
          <w:lang w:val="en-US" w:bidi="ar-SA"/>
        </w:rPr>
      </w:pPr>
      <w:r>
        <w:rPr>
          <w:rFonts w:hint="eastAsia" w:ascii="宋体"/>
          <w:sz w:val="54"/>
          <w:lang w:val="en-US"/>
        </w:rPr>
        <w:t xml:space="preserve">  </w:t>
      </w:r>
      <w:r>
        <w:rPr>
          <w:rFonts w:hint="eastAsia" w:asciiTheme="majorEastAsia" w:hAnsiTheme="majorEastAsia" w:eastAsiaTheme="majorEastAsia" w:cstheme="minorBidi"/>
          <w:b/>
          <w:bCs/>
          <w:kern w:val="2"/>
          <w:sz w:val="44"/>
          <w:szCs w:val="44"/>
          <w:lang w:val="en-US" w:bidi="ar-SA"/>
        </w:rPr>
        <w:t>上海资信有限公司资金存放银行竞争性</w:t>
      </w:r>
      <w:r>
        <w:rPr>
          <w:rFonts w:hint="eastAsia" w:asciiTheme="majorEastAsia" w:hAnsiTheme="majorEastAsia" w:eastAsiaTheme="majorEastAsia" w:cstheme="minorBidi"/>
          <w:b/>
          <w:bCs/>
          <w:kern w:val="2"/>
          <w:sz w:val="44"/>
          <w:szCs w:val="44"/>
          <w:lang w:val="en-US" w:eastAsia="zh-CN" w:bidi="ar-SA"/>
        </w:rPr>
        <w:t>遴选</w:t>
      </w:r>
      <w:r>
        <w:rPr>
          <w:rFonts w:hint="eastAsia" w:asciiTheme="majorEastAsia" w:hAnsiTheme="majorEastAsia" w:eastAsiaTheme="majorEastAsia" w:cstheme="minorBidi"/>
          <w:b/>
          <w:bCs/>
          <w:kern w:val="2"/>
          <w:sz w:val="44"/>
          <w:szCs w:val="44"/>
          <w:lang w:val="en-US" w:bidi="ar-SA"/>
        </w:rPr>
        <w:t xml:space="preserve">  邀请书</w:t>
      </w:r>
    </w:p>
    <w:p w14:paraId="1024516E">
      <w:pPr>
        <w:pStyle w:val="4"/>
        <w:spacing w:before="7"/>
        <w:ind w:left="455" w:leftChars="207" w:right="447" w:rightChars="203"/>
        <w:jc w:val="center"/>
        <w:rPr>
          <w:rFonts w:ascii="宋体" w:hAnsi="宋体" w:eastAsia="宋体" w:cs="宋体"/>
          <w:b/>
          <w:bCs/>
          <w:sz w:val="44"/>
          <w:szCs w:val="44"/>
        </w:rPr>
      </w:pPr>
    </w:p>
    <w:p w14:paraId="22191F2D">
      <w:pPr>
        <w:pStyle w:val="4"/>
        <w:spacing w:line="600" w:lineRule="exact"/>
        <w:ind w:left="1180" w:right="1157" w:firstLine="640"/>
        <w:jc w:val="both"/>
      </w:pPr>
      <w:r>
        <w:rPr>
          <w:rFonts w:hint="eastAsia"/>
          <w:spacing w:val="-1"/>
          <w:lang w:val="en-US"/>
        </w:rPr>
        <w:t>上海资信有限公司</w:t>
      </w:r>
      <w:r>
        <w:rPr>
          <w:spacing w:val="-1"/>
        </w:rPr>
        <w:t>因资金存放需要，公开征集资金</w:t>
      </w:r>
      <w:r>
        <w:rPr>
          <w:spacing w:val="-4"/>
        </w:rPr>
        <w:t>存放银行。现将项目概况、评分规则及标准、响应文件等相关事项明确如下：</w:t>
      </w:r>
    </w:p>
    <w:p w14:paraId="33A2DE55">
      <w:pPr>
        <w:pStyle w:val="4"/>
        <w:spacing w:before="3" w:line="600" w:lineRule="exact"/>
        <w:ind w:left="1820"/>
      </w:pPr>
      <w:r>
        <w:rPr>
          <w:rFonts w:hint="eastAsia" w:ascii="黑体" w:eastAsia="黑体"/>
          <w:w w:val="95"/>
        </w:rPr>
        <w:t>一、单位名称</w:t>
      </w:r>
    </w:p>
    <w:p w14:paraId="785B785B">
      <w:pPr>
        <w:pStyle w:val="4"/>
        <w:spacing w:before="214" w:line="600" w:lineRule="exact"/>
        <w:ind w:left="1820"/>
        <w:rPr>
          <w:lang w:val="en-US"/>
        </w:rPr>
      </w:pPr>
      <w:r>
        <w:rPr>
          <w:rFonts w:hint="eastAsia"/>
          <w:lang w:val="en-US"/>
        </w:rPr>
        <w:t>上海资信有限公司</w:t>
      </w:r>
    </w:p>
    <w:p w14:paraId="395E415F">
      <w:pPr>
        <w:pStyle w:val="4"/>
        <w:spacing w:before="214" w:line="600" w:lineRule="exact"/>
        <w:ind w:left="1820"/>
        <w:rPr>
          <w:rFonts w:ascii="黑体" w:eastAsia="黑体"/>
        </w:rPr>
      </w:pPr>
      <w:r>
        <w:rPr>
          <w:rFonts w:hint="eastAsia" w:ascii="黑体" w:eastAsia="黑体"/>
        </w:rPr>
        <w:t>二、项目名称</w:t>
      </w:r>
    </w:p>
    <w:p w14:paraId="67923774">
      <w:pPr>
        <w:pStyle w:val="4"/>
        <w:spacing w:before="214" w:line="600" w:lineRule="exact"/>
        <w:ind w:left="1820"/>
      </w:pPr>
      <w:r>
        <w:rPr>
          <w:rFonts w:hint="eastAsia"/>
          <w:lang w:val="en-US"/>
        </w:rPr>
        <w:t>上海资信有限公司</w:t>
      </w:r>
      <w:r>
        <w:t>资金存放银行</w:t>
      </w:r>
      <w:r>
        <w:rPr>
          <w:rFonts w:hint="eastAsia"/>
        </w:rPr>
        <w:t>遴选</w:t>
      </w:r>
      <w:r>
        <w:t>项目</w:t>
      </w:r>
    </w:p>
    <w:p w14:paraId="30272765">
      <w:pPr>
        <w:pStyle w:val="4"/>
        <w:spacing w:before="214" w:line="600" w:lineRule="exact"/>
        <w:ind w:left="1820"/>
        <w:rPr>
          <w:rFonts w:ascii="黑体" w:eastAsia="黑体"/>
        </w:rPr>
      </w:pPr>
      <w:r>
        <w:rPr>
          <w:rFonts w:hint="eastAsia" w:ascii="黑体" w:eastAsia="黑体"/>
        </w:rPr>
        <w:t>三、项目地点</w:t>
      </w:r>
    </w:p>
    <w:p w14:paraId="4603E75B">
      <w:pPr>
        <w:pStyle w:val="4"/>
        <w:spacing w:before="214" w:line="600" w:lineRule="exact"/>
        <w:ind w:left="1820"/>
      </w:pPr>
      <w:r>
        <w:t>上海市</w:t>
      </w:r>
      <w:r>
        <w:rPr>
          <w:rFonts w:hint="eastAsia"/>
        </w:rPr>
        <w:t>浦东新区源深路3</w:t>
      </w:r>
      <w:r>
        <w:t>05</w:t>
      </w:r>
      <w:r>
        <w:rPr>
          <w:rFonts w:hint="eastAsia"/>
        </w:rPr>
        <w:t>号</w:t>
      </w:r>
    </w:p>
    <w:p w14:paraId="650683AB">
      <w:pPr>
        <w:pStyle w:val="4"/>
        <w:spacing w:before="214" w:line="600" w:lineRule="exact"/>
        <w:ind w:left="1820"/>
        <w:rPr>
          <w:rFonts w:ascii="黑体" w:eastAsia="黑体"/>
        </w:rPr>
      </w:pPr>
      <w:r>
        <w:rPr>
          <w:rFonts w:hint="eastAsia" w:ascii="黑体" w:eastAsia="黑体"/>
        </w:rPr>
        <w:t>四、项目概况</w:t>
      </w:r>
    </w:p>
    <w:p w14:paraId="7F00848C">
      <w:pPr>
        <w:pStyle w:val="4"/>
        <w:spacing w:before="214" w:line="600" w:lineRule="exact"/>
        <w:ind w:left="1180" w:right="1157" w:firstLine="640"/>
        <w:jc w:val="both"/>
      </w:pPr>
      <w:r>
        <w:rPr>
          <w:rFonts w:hint="eastAsia"/>
          <w:spacing w:val="-4"/>
        </w:rPr>
        <w:t>上海资信有限公司成立于1999年，目前由人民银行征信中心控股。上海资信拥有一支业务经验丰富、技术实力领先的专业人才队伍，先后荣获“上海金融创新奖二等奖”“上海市劳模集体”“上海市巾帼文明岗”等多种奖励和荣誉，是高新技术、专精特新、</w:t>
      </w:r>
      <w:r>
        <w:rPr>
          <w:spacing w:val="-4"/>
        </w:rPr>
        <w:t>ISO9001质量管理体系及CMMI3级认证企业。</w:t>
      </w:r>
      <w:r>
        <w:rPr>
          <w:rFonts w:hint="eastAsia"/>
          <w:spacing w:val="-4"/>
        </w:rPr>
        <w:t>作为人民银行征信中心所属公司，上海资信积极践行“征信为民”理念，紧密围绕“服务保障中央银行履职”目标开展业务，为征信中心履职提供各类服务，协助开展社会信用体系建设相关工作，助力推动征信业高质量发展。</w:t>
      </w:r>
      <w:r>
        <w:rPr>
          <w:spacing w:val="-4"/>
        </w:rPr>
        <w:t>根据资金存放需要，现通过竞争性方式选择</w:t>
      </w:r>
      <w:r>
        <w:rPr>
          <w:rFonts w:hint="eastAsia"/>
          <w:spacing w:val="-4"/>
          <w:lang w:val="en-US"/>
        </w:rPr>
        <w:t>两家</w:t>
      </w:r>
      <w:r>
        <w:t>定期存款</w:t>
      </w:r>
      <w:r>
        <w:rPr>
          <w:rFonts w:hint="eastAsia"/>
          <w:lang w:val="en-US"/>
        </w:rPr>
        <w:t>资金</w:t>
      </w:r>
      <w:r>
        <w:t>存放银行。</w:t>
      </w:r>
    </w:p>
    <w:p w14:paraId="5C509DB9">
      <w:pPr>
        <w:pStyle w:val="4"/>
        <w:spacing w:before="214" w:line="600" w:lineRule="exact"/>
        <w:ind w:left="1820"/>
        <w:rPr>
          <w:rFonts w:ascii="黑体" w:eastAsia="黑体"/>
        </w:rPr>
      </w:pPr>
      <w:r>
        <w:rPr>
          <w:rFonts w:hint="eastAsia" w:ascii="黑体" w:eastAsia="黑体"/>
        </w:rPr>
        <w:t>五、参与银行资格要求</w:t>
      </w:r>
    </w:p>
    <w:p w14:paraId="545247E2">
      <w:pPr>
        <w:pStyle w:val="4"/>
        <w:spacing w:before="214" w:line="600" w:lineRule="exact"/>
        <w:ind w:left="1820"/>
      </w:pPr>
      <w:r>
        <w:t>符合资格要求的参与银行需同时满足以下条件：</w:t>
      </w:r>
    </w:p>
    <w:p w14:paraId="2E0E5E94">
      <w:pPr>
        <w:pStyle w:val="12"/>
        <w:numPr>
          <w:ilvl w:val="0"/>
          <w:numId w:val="1"/>
        </w:numPr>
        <w:tabs>
          <w:tab w:val="left" w:pos="2143"/>
        </w:tabs>
        <w:spacing w:line="600" w:lineRule="exact"/>
        <w:ind w:right="1157" w:firstLine="640"/>
        <w:jc w:val="both"/>
        <w:rPr>
          <w:sz w:val="32"/>
        </w:rPr>
      </w:pPr>
      <w:r>
        <w:rPr>
          <w:spacing w:val="-2"/>
          <w:sz w:val="32"/>
        </w:rPr>
        <w:t>属于中国银保监会官网发布的《银行业金融机构法人</w:t>
      </w:r>
      <w:r>
        <w:rPr>
          <w:spacing w:val="-48"/>
          <w:sz w:val="32"/>
        </w:rPr>
        <w:t>名单》</w:t>
      </w:r>
      <w:r>
        <w:rPr>
          <w:spacing w:val="7"/>
          <w:sz w:val="32"/>
        </w:rPr>
        <w:t>（</w:t>
      </w:r>
      <w:r>
        <w:rPr>
          <w:spacing w:val="-25"/>
          <w:sz w:val="32"/>
        </w:rPr>
        <w:t xml:space="preserve">截至 </w:t>
      </w:r>
      <w:r>
        <w:rPr>
          <w:spacing w:val="3"/>
          <w:sz w:val="32"/>
        </w:rPr>
        <w:t>202</w:t>
      </w:r>
      <w:r>
        <w:rPr>
          <w:rFonts w:hint="eastAsia"/>
          <w:spacing w:val="3"/>
          <w:sz w:val="32"/>
          <w:lang w:val="en-US" w:eastAsia="zh-CN"/>
        </w:rPr>
        <w:t>5</w:t>
      </w:r>
      <w:r>
        <w:rPr>
          <w:spacing w:val="-51"/>
          <w:sz w:val="32"/>
        </w:rPr>
        <w:t xml:space="preserve">年 </w:t>
      </w:r>
      <w:r>
        <w:rPr>
          <w:sz w:val="32"/>
        </w:rPr>
        <w:t>12</w:t>
      </w:r>
      <w:r>
        <w:rPr>
          <w:spacing w:val="-52"/>
          <w:sz w:val="32"/>
        </w:rPr>
        <w:t xml:space="preserve"> 月</w:t>
      </w:r>
      <w:r>
        <w:rPr>
          <w:sz w:val="32"/>
        </w:rPr>
        <w:t>31</w:t>
      </w:r>
      <w:r>
        <w:rPr>
          <w:spacing w:val="-35"/>
          <w:sz w:val="32"/>
        </w:rPr>
        <w:t xml:space="preserve"> 日</w:t>
      </w:r>
      <w:r>
        <w:rPr>
          <w:spacing w:val="5"/>
          <w:sz w:val="32"/>
        </w:rPr>
        <w:t>）</w:t>
      </w:r>
      <w:r>
        <w:rPr>
          <w:spacing w:val="4"/>
          <w:sz w:val="32"/>
        </w:rPr>
        <w:t>中的商业银行；</w:t>
      </w:r>
    </w:p>
    <w:p w14:paraId="3D647CC3">
      <w:pPr>
        <w:pStyle w:val="12"/>
        <w:numPr>
          <w:ilvl w:val="0"/>
          <w:numId w:val="1"/>
        </w:numPr>
        <w:tabs>
          <w:tab w:val="left" w:pos="2143"/>
        </w:tabs>
        <w:spacing w:line="600" w:lineRule="exact"/>
        <w:ind w:right="1157" w:firstLine="640"/>
        <w:jc w:val="both"/>
        <w:rPr>
          <w:spacing w:val="-2"/>
          <w:sz w:val="32"/>
        </w:rPr>
      </w:pPr>
      <w:r>
        <w:rPr>
          <w:spacing w:val="-2"/>
          <w:sz w:val="32"/>
        </w:rPr>
        <w:t>没有处于被责令停业、被监管机构接管、进入清算程 序或被宣告破产等情形；</w:t>
      </w:r>
    </w:p>
    <w:p w14:paraId="5486536E">
      <w:pPr>
        <w:pStyle w:val="12"/>
        <w:numPr>
          <w:ilvl w:val="0"/>
          <w:numId w:val="1"/>
        </w:numPr>
        <w:tabs>
          <w:tab w:val="left" w:pos="2143"/>
        </w:tabs>
        <w:spacing w:line="600" w:lineRule="exact"/>
        <w:ind w:right="1157" w:firstLine="640"/>
        <w:jc w:val="both"/>
        <w:rPr>
          <w:spacing w:val="-2"/>
          <w:sz w:val="32"/>
        </w:rPr>
      </w:pPr>
      <w:r>
        <w:rPr>
          <w:spacing w:val="-2"/>
          <w:sz w:val="32"/>
        </w:rPr>
        <w:t>近三年无重大违法违规行为；</w:t>
      </w:r>
    </w:p>
    <w:p w14:paraId="46A51605">
      <w:pPr>
        <w:pStyle w:val="12"/>
        <w:numPr>
          <w:ilvl w:val="0"/>
          <w:numId w:val="1"/>
        </w:numPr>
        <w:tabs>
          <w:tab w:val="left" w:pos="2143"/>
        </w:tabs>
        <w:spacing w:line="600" w:lineRule="exact"/>
        <w:ind w:right="1157" w:firstLine="640"/>
        <w:jc w:val="both"/>
        <w:rPr>
          <w:spacing w:val="-2"/>
          <w:sz w:val="32"/>
        </w:rPr>
      </w:pPr>
      <w:r>
        <w:rPr>
          <w:spacing w:val="-2"/>
          <w:sz w:val="32"/>
        </w:rPr>
        <w:t>在上海市设有营业机构；</w:t>
      </w:r>
    </w:p>
    <w:p w14:paraId="54DCE99D">
      <w:pPr>
        <w:pStyle w:val="12"/>
        <w:numPr>
          <w:ilvl w:val="0"/>
          <w:numId w:val="1"/>
        </w:numPr>
        <w:tabs>
          <w:tab w:val="left" w:pos="2143"/>
        </w:tabs>
        <w:spacing w:line="600" w:lineRule="exact"/>
        <w:ind w:right="1157" w:firstLine="640"/>
        <w:jc w:val="both"/>
        <w:rPr>
          <w:spacing w:val="-2"/>
          <w:sz w:val="32"/>
        </w:rPr>
      </w:pPr>
      <w:r>
        <w:rPr>
          <w:spacing w:val="-2"/>
          <w:sz w:val="32"/>
        </w:rPr>
        <w:t>每家银行只允许一个主体报名参加。</w:t>
      </w:r>
    </w:p>
    <w:p w14:paraId="5AB22F2C">
      <w:pPr>
        <w:pStyle w:val="4"/>
        <w:spacing w:before="214" w:line="600" w:lineRule="exact"/>
        <w:ind w:left="1820"/>
        <w:rPr>
          <w:rFonts w:ascii="黑体" w:eastAsia="黑体"/>
        </w:rPr>
      </w:pPr>
      <w:r>
        <w:rPr>
          <w:rFonts w:hint="eastAsia" w:ascii="黑体" w:eastAsia="黑体"/>
        </w:rPr>
        <w:t>六、评分方法及评分指标和标准</w:t>
      </w:r>
    </w:p>
    <w:p w14:paraId="5DE93DD7">
      <w:pPr>
        <w:pStyle w:val="4"/>
        <w:spacing w:before="214" w:line="600" w:lineRule="exact"/>
        <w:ind w:left="1180" w:right="999" w:firstLine="640"/>
      </w:pPr>
      <w:r>
        <w:rPr>
          <w:spacing w:val="13"/>
        </w:rPr>
        <w:t>本项目采取综合评分法对符合条件的参与银行进行评</w:t>
      </w:r>
      <w:r>
        <w:rPr>
          <w:spacing w:val="-14"/>
          <w:w w:val="95"/>
        </w:rPr>
        <w:t>分，综合考虑银行的经营状况、服务水平、利率水平等因素，</w:t>
      </w:r>
      <w:r>
        <w:rPr>
          <w:spacing w:val="-15"/>
        </w:rPr>
        <w:t>据此设立相应的评分指标与标准。评分项目及评审说明见附</w:t>
      </w:r>
      <w:r>
        <w:rPr>
          <w:spacing w:val="-48"/>
        </w:rPr>
        <w:t xml:space="preserve">件 </w:t>
      </w:r>
      <w:r>
        <w:t>1。</w:t>
      </w:r>
    </w:p>
    <w:p w14:paraId="2CAAF4CD">
      <w:pPr>
        <w:pStyle w:val="4"/>
        <w:spacing w:before="30" w:line="600" w:lineRule="exact"/>
        <w:ind w:left="1820"/>
        <w:rPr>
          <w:rFonts w:ascii="黑体" w:eastAsia="黑体"/>
        </w:rPr>
      </w:pPr>
      <w:r>
        <w:rPr>
          <w:rFonts w:hint="eastAsia" w:ascii="黑体" w:eastAsia="黑体"/>
        </w:rPr>
        <w:t>七、响应文件的编制</w:t>
      </w:r>
    </w:p>
    <w:p w14:paraId="0AFA5C05">
      <w:pPr>
        <w:pStyle w:val="12"/>
        <w:numPr>
          <w:ilvl w:val="0"/>
          <w:numId w:val="2"/>
        </w:numPr>
        <w:tabs>
          <w:tab w:val="left" w:pos="2143"/>
        </w:tabs>
        <w:spacing w:line="600" w:lineRule="exact"/>
        <w:ind w:hanging="323"/>
        <w:rPr>
          <w:sz w:val="32"/>
        </w:rPr>
      </w:pPr>
      <w:r>
        <w:rPr>
          <w:sz w:val="32"/>
        </w:rPr>
        <w:t>响应文件构成</w:t>
      </w:r>
    </w:p>
    <w:p w14:paraId="66CAB13C">
      <w:pPr>
        <w:pStyle w:val="4"/>
        <w:spacing w:before="214" w:line="600" w:lineRule="exact"/>
        <w:ind w:left="1820"/>
      </w:pPr>
      <w:r>
        <w:t>参与银行应按下列响应文件格式要求编写响应文件：</w:t>
      </w:r>
    </w:p>
    <w:p w14:paraId="4E268CAC">
      <w:pPr>
        <w:pStyle w:val="12"/>
        <w:tabs>
          <w:tab w:val="left" w:pos="2621"/>
        </w:tabs>
        <w:spacing w:line="600" w:lineRule="exact"/>
        <w:ind w:left="1819" w:firstLine="0"/>
        <w:rPr>
          <w:sz w:val="32"/>
        </w:rPr>
      </w:pPr>
      <w:r>
        <w:rPr>
          <w:rFonts w:hint="eastAsia"/>
          <w:w w:val="99"/>
          <w:sz w:val="32"/>
        </w:rPr>
        <w:t>（</w:t>
      </w:r>
      <w:r>
        <w:rPr>
          <w:rFonts w:hint="eastAsia"/>
          <w:w w:val="99"/>
          <w:sz w:val="32"/>
          <w:lang w:val="en-US"/>
        </w:rPr>
        <w:t>1</w:t>
      </w:r>
      <w:r>
        <w:rPr>
          <w:rFonts w:hint="eastAsia"/>
          <w:w w:val="99"/>
          <w:sz w:val="32"/>
        </w:rPr>
        <w:t>）</w:t>
      </w:r>
      <w:r>
        <w:rPr>
          <w:w w:val="99"/>
          <w:sz w:val="32"/>
        </w:rPr>
        <w:t>响应函（格式见附件</w:t>
      </w:r>
      <w:r>
        <w:rPr>
          <w:spacing w:val="-81"/>
          <w:sz w:val="32"/>
        </w:rPr>
        <w:t xml:space="preserve"> </w:t>
      </w:r>
      <w:r>
        <w:rPr>
          <w:spacing w:val="1"/>
          <w:w w:val="99"/>
          <w:sz w:val="32"/>
        </w:rPr>
        <w:t>2</w:t>
      </w:r>
      <w:r>
        <w:rPr>
          <w:spacing w:val="-159"/>
          <w:w w:val="99"/>
          <w:sz w:val="32"/>
        </w:rPr>
        <w:t>）</w:t>
      </w:r>
      <w:r>
        <w:rPr>
          <w:w w:val="99"/>
          <w:sz w:val="32"/>
        </w:rPr>
        <w:t>；</w:t>
      </w:r>
    </w:p>
    <w:p w14:paraId="4D6E4F7E">
      <w:pPr>
        <w:pStyle w:val="12"/>
        <w:tabs>
          <w:tab w:val="left" w:pos="2621"/>
        </w:tabs>
        <w:spacing w:line="600" w:lineRule="exact"/>
        <w:ind w:left="455" w:leftChars="207" w:right="1162" w:firstLine="1384" w:firstLineChars="400"/>
        <w:rPr>
          <w:spacing w:val="13"/>
          <w:sz w:val="32"/>
          <w:szCs w:val="32"/>
          <w:lang w:val="en-US"/>
        </w:rPr>
      </w:pPr>
      <w:r>
        <w:rPr>
          <w:rFonts w:hint="eastAsia"/>
          <w:spacing w:val="13"/>
          <w:sz w:val="32"/>
          <w:szCs w:val="32"/>
        </w:rPr>
        <w:t>（</w:t>
      </w:r>
      <w:r>
        <w:rPr>
          <w:rFonts w:hint="eastAsia"/>
          <w:spacing w:val="13"/>
          <w:sz w:val="32"/>
          <w:szCs w:val="32"/>
          <w:lang w:val="en-US"/>
        </w:rPr>
        <w:t>2</w:t>
      </w:r>
      <w:r>
        <w:rPr>
          <w:rFonts w:hint="eastAsia"/>
          <w:spacing w:val="13"/>
          <w:sz w:val="32"/>
          <w:szCs w:val="32"/>
        </w:rPr>
        <w:t>）</w:t>
      </w:r>
      <w:r>
        <w:rPr>
          <w:spacing w:val="13"/>
          <w:sz w:val="32"/>
          <w:szCs w:val="32"/>
        </w:rPr>
        <w:t>参与银行营业执照及金融许可证复印件，并加</w:t>
      </w:r>
      <w:r>
        <w:rPr>
          <w:rFonts w:hint="eastAsia"/>
          <w:spacing w:val="13"/>
          <w:sz w:val="32"/>
          <w:szCs w:val="32"/>
          <w:lang w:val="en-US"/>
        </w:rPr>
        <w:t xml:space="preserve">      </w:t>
      </w:r>
    </w:p>
    <w:p w14:paraId="5D9E9E3E">
      <w:pPr>
        <w:pStyle w:val="12"/>
        <w:tabs>
          <w:tab w:val="left" w:pos="2621"/>
        </w:tabs>
        <w:spacing w:line="600" w:lineRule="exact"/>
        <w:ind w:left="0" w:right="1162" w:firstLine="1384" w:firstLineChars="400"/>
        <w:rPr>
          <w:spacing w:val="13"/>
          <w:sz w:val="32"/>
          <w:szCs w:val="32"/>
        </w:rPr>
      </w:pPr>
      <w:r>
        <w:rPr>
          <w:spacing w:val="13"/>
          <w:sz w:val="32"/>
          <w:szCs w:val="32"/>
        </w:rPr>
        <w:t>盖单位公章；</w:t>
      </w:r>
    </w:p>
    <w:p w14:paraId="43DAB2DE">
      <w:pPr>
        <w:pStyle w:val="4"/>
        <w:spacing w:before="1" w:line="600" w:lineRule="exact"/>
        <w:ind w:left="1820"/>
        <w:jc w:val="left"/>
      </w:pPr>
      <w:r>
        <w:t>（3）</w:t>
      </w:r>
      <w:r>
        <w:rPr>
          <w:rFonts w:hint="eastAsia"/>
          <w:lang w:val="en-US"/>
        </w:rPr>
        <w:t>202</w:t>
      </w:r>
      <w:r>
        <w:rPr>
          <w:rFonts w:hint="eastAsia"/>
          <w:lang w:val="en-US" w:eastAsia="zh-CN"/>
        </w:rPr>
        <w:t>5</w:t>
      </w:r>
      <w:r>
        <w:t>年度</w:t>
      </w:r>
      <w:r>
        <w:rPr>
          <w:rFonts w:hint="eastAsia"/>
          <w:lang w:val="en-US" w:eastAsia="zh-CN"/>
        </w:rPr>
        <w:t>财务审计报告及主要财务报表、</w:t>
      </w:r>
      <w:r>
        <w:t>经审计</w:t>
      </w:r>
      <w:r>
        <w:rPr>
          <w:rFonts w:hint="eastAsia"/>
          <w:lang w:val="en-US" w:eastAsia="zh-CN"/>
        </w:rPr>
        <w:t>的</w:t>
      </w:r>
      <w:r>
        <w:t>内控审计报告</w:t>
      </w:r>
      <w:r>
        <w:rPr>
          <w:rFonts w:hint="eastAsia"/>
          <w:lang w:val="en-US" w:eastAsia="zh-CN"/>
        </w:rPr>
        <w:t>，加盖单位公章</w:t>
      </w:r>
      <w:r>
        <w:t>；</w:t>
      </w:r>
    </w:p>
    <w:p w14:paraId="3AF6F685">
      <w:pPr>
        <w:pStyle w:val="12"/>
        <w:numPr>
          <w:ilvl w:val="0"/>
          <w:numId w:val="3"/>
        </w:numPr>
        <w:tabs>
          <w:tab w:val="left" w:pos="2621"/>
        </w:tabs>
        <w:spacing w:line="600" w:lineRule="exact"/>
        <w:ind w:hanging="801"/>
        <w:rPr>
          <w:sz w:val="32"/>
        </w:rPr>
      </w:pPr>
      <w:r>
        <w:rPr>
          <w:w w:val="99"/>
          <w:sz w:val="32"/>
        </w:rPr>
        <w:t>授权书</w:t>
      </w:r>
      <w:r>
        <w:rPr>
          <w:spacing w:val="2"/>
          <w:w w:val="99"/>
          <w:sz w:val="32"/>
        </w:rPr>
        <w:t>（</w:t>
      </w:r>
      <w:r>
        <w:rPr>
          <w:w w:val="99"/>
          <w:sz w:val="32"/>
        </w:rPr>
        <w:t>格式见附件</w:t>
      </w:r>
      <w:r>
        <w:rPr>
          <w:spacing w:val="1"/>
          <w:w w:val="99"/>
          <w:sz w:val="32"/>
        </w:rPr>
        <w:t>3</w:t>
      </w:r>
      <w:r>
        <w:rPr>
          <w:spacing w:val="-159"/>
          <w:w w:val="99"/>
          <w:sz w:val="32"/>
        </w:rPr>
        <w:t>）</w:t>
      </w:r>
      <w:r>
        <w:rPr>
          <w:w w:val="99"/>
          <w:sz w:val="32"/>
        </w:rPr>
        <w:t>；</w:t>
      </w:r>
    </w:p>
    <w:p w14:paraId="357F6D92">
      <w:pPr>
        <w:pStyle w:val="12"/>
        <w:numPr>
          <w:ilvl w:val="0"/>
          <w:numId w:val="3"/>
        </w:numPr>
        <w:tabs>
          <w:tab w:val="left" w:pos="2621"/>
        </w:tabs>
        <w:spacing w:line="600" w:lineRule="exact"/>
        <w:ind w:hanging="801"/>
        <w:rPr>
          <w:sz w:val="32"/>
        </w:rPr>
      </w:pPr>
      <w:r>
        <w:rPr>
          <w:w w:val="99"/>
          <w:sz w:val="32"/>
        </w:rPr>
        <w:t>廉洁承诺书（格式见附件</w:t>
      </w:r>
      <w:r>
        <w:rPr>
          <w:spacing w:val="1"/>
          <w:w w:val="99"/>
          <w:sz w:val="32"/>
        </w:rPr>
        <w:t>4</w:t>
      </w:r>
      <w:r>
        <w:rPr>
          <w:spacing w:val="-161"/>
          <w:w w:val="99"/>
          <w:sz w:val="32"/>
        </w:rPr>
        <w:t>）</w:t>
      </w:r>
      <w:r>
        <w:rPr>
          <w:w w:val="99"/>
          <w:sz w:val="32"/>
        </w:rPr>
        <w:t>；</w:t>
      </w:r>
    </w:p>
    <w:p w14:paraId="4AE28813">
      <w:pPr>
        <w:pStyle w:val="12"/>
        <w:numPr>
          <w:ilvl w:val="0"/>
          <w:numId w:val="2"/>
        </w:numPr>
        <w:tabs>
          <w:tab w:val="left" w:pos="2152"/>
        </w:tabs>
        <w:spacing w:before="0" w:line="600" w:lineRule="exact"/>
        <w:ind w:left="1179" w:right="1145" w:firstLine="641"/>
        <w:jc w:val="both"/>
        <w:rPr>
          <w:spacing w:val="13"/>
          <w:w w:val="95"/>
          <w:sz w:val="32"/>
        </w:rPr>
      </w:pPr>
      <w:r>
        <w:rPr>
          <w:spacing w:val="2"/>
          <w:w w:val="99"/>
          <w:sz w:val="32"/>
        </w:rPr>
        <w:t>参与银行经营状况介绍</w:t>
      </w:r>
      <w:r>
        <w:rPr>
          <w:spacing w:val="5"/>
          <w:w w:val="99"/>
          <w:sz w:val="32"/>
        </w:rPr>
        <w:t>（</w:t>
      </w:r>
      <w:r>
        <w:rPr>
          <w:spacing w:val="1"/>
          <w:w w:val="99"/>
          <w:sz w:val="32"/>
        </w:rPr>
        <w:t>格式见附件</w:t>
      </w:r>
      <w:r>
        <w:rPr>
          <w:spacing w:val="3"/>
          <w:w w:val="99"/>
          <w:sz w:val="32"/>
        </w:rPr>
        <w:t>5</w:t>
      </w:r>
      <w:r>
        <w:rPr>
          <w:spacing w:val="-156"/>
          <w:w w:val="99"/>
          <w:sz w:val="32"/>
        </w:rPr>
        <w:t>）</w:t>
      </w:r>
      <w:r>
        <w:rPr>
          <w:spacing w:val="1"/>
          <w:w w:val="99"/>
          <w:sz w:val="32"/>
        </w:rPr>
        <w:t>，包括但</w:t>
      </w:r>
      <w:r>
        <w:rPr>
          <w:w w:val="95"/>
          <w:sz w:val="32"/>
        </w:rPr>
        <w:t>不限于附件中</w:t>
      </w:r>
      <w:r>
        <w:rPr>
          <w:spacing w:val="13"/>
          <w:w w:val="95"/>
          <w:sz w:val="32"/>
        </w:rPr>
        <w:t>的全部指标及相关情况介绍，未提供项计零分；</w:t>
      </w:r>
    </w:p>
    <w:p w14:paraId="749CC00D">
      <w:pPr>
        <w:pStyle w:val="12"/>
        <w:numPr>
          <w:ilvl w:val="0"/>
          <w:numId w:val="2"/>
        </w:numPr>
        <w:tabs>
          <w:tab w:val="left" w:pos="2152"/>
        </w:tabs>
        <w:spacing w:before="0" w:line="600" w:lineRule="exact"/>
        <w:ind w:left="1179" w:right="1145" w:firstLine="641"/>
        <w:jc w:val="both"/>
        <w:rPr>
          <w:spacing w:val="13"/>
          <w:w w:val="95"/>
          <w:sz w:val="32"/>
        </w:rPr>
      </w:pPr>
      <w:r>
        <w:rPr>
          <w:spacing w:val="13"/>
          <w:w w:val="95"/>
          <w:sz w:val="32"/>
        </w:rPr>
        <w:t>资金存放项目服务方案，包括但不限于服务团队、 上门服务及对账服务、信息化水平、费用减免、资金流动性保障方案以及员工信贷、延展服务等;</w:t>
      </w:r>
    </w:p>
    <w:p w14:paraId="69B8A177">
      <w:pPr>
        <w:pStyle w:val="12"/>
        <w:numPr>
          <w:ilvl w:val="0"/>
          <w:numId w:val="2"/>
        </w:numPr>
        <w:tabs>
          <w:tab w:val="left" w:pos="2152"/>
        </w:tabs>
        <w:spacing w:before="0" w:line="600" w:lineRule="exact"/>
        <w:ind w:left="1179" w:right="1145" w:firstLine="641"/>
        <w:jc w:val="both"/>
        <w:rPr>
          <w:spacing w:val="13"/>
          <w:w w:val="95"/>
          <w:sz w:val="32"/>
        </w:rPr>
      </w:pPr>
      <w:r>
        <w:rPr>
          <w:spacing w:val="13"/>
          <w:w w:val="95"/>
          <w:sz w:val="32"/>
        </w:rPr>
        <w:t>报价函（格式见附件6）;</w:t>
      </w:r>
    </w:p>
    <w:p w14:paraId="0D71EDD3">
      <w:pPr>
        <w:pStyle w:val="12"/>
        <w:numPr>
          <w:ilvl w:val="0"/>
          <w:numId w:val="2"/>
        </w:numPr>
        <w:tabs>
          <w:tab w:val="left" w:pos="2152"/>
        </w:tabs>
        <w:spacing w:before="0" w:line="600" w:lineRule="exact"/>
        <w:ind w:left="1179" w:right="1145" w:firstLine="641"/>
        <w:jc w:val="both"/>
        <w:rPr>
          <w:sz w:val="32"/>
        </w:rPr>
      </w:pPr>
      <w:r>
        <w:rPr>
          <w:spacing w:val="13"/>
          <w:w w:val="95"/>
          <w:sz w:val="32"/>
        </w:rPr>
        <w:t>参与银行认为需提供的其</w:t>
      </w:r>
      <w:r>
        <w:rPr>
          <w:sz w:val="32"/>
        </w:rPr>
        <w:t>他文件</w:t>
      </w:r>
      <w:r>
        <w:rPr>
          <w:spacing w:val="13"/>
          <w:w w:val="95"/>
          <w:sz w:val="32"/>
        </w:rPr>
        <w:t>;</w:t>
      </w:r>
    </w:p>
    <w:p w14:paraId="7681F533">
      <w:pPr>
        <w:pStyle w:val="12"/>
        <w:numPr>
          <w:ilvl w:val="0"/>
          <w:numId w:val="2"/>
        </w:numPr>
        <w:tabs>
          <w:tab w:val="left" w:pos="2152"/>
        </w:tabs>
        <w:spacing w:before="0" w:line="600" w:lineRule="exact"/>
        <w:ind w:left="1179" w:right="1145" w:firstLine="641"/>
        <w:jc w:val="both"/>
        <w:rPr>
          <w:sz w:val="32"/>
        </w:rPr>
      </w:pPr>
      <w:r>
        <w:rPr>
          <w:spacing w:val="13"/>
          <w:w w:val="95"/>
          <w:sz w:val="32"/>
        </w:rPr>
        <w:t xml:space="preserve">参与银行应在响应函中明确最终办理资金存放手续 的银行机构名称；如为分支机构的，应明确分支机构名称; </w:t>
      </w:r>
      <w:r>
        <w:rPr>
          <w:rFonts w:hint="eastAsia"/>
          <w:spacing w:val="13"/>
          <w:w w:val="95"/>
          <w:sz w:val="32"/>
          <w:lang w:val="en-US"/>
        </w:rPr>
        <w:t xml:space="preserve">                        </w:t>
      </w:r>
    </w:p>
    <w:p w14:paraId="19D6B1AA">
      <w:pPr>
        <w:pStyle w:val="12"/>
        <w:tabs>
          <w:tab w:val="left" w:pos="2152"/>
        </w:tabs>
        <w:spacing w:before="0" w:line="600" w:lineRule="exact"/>
        <w:ind w:left="1820" w:right="1145" w:firstLine="0"/>
        <w:jc w:val="both"/>
        <w:rPr>
          <w:sz w:val="32"/>
        </w:rPr>
      </w:pPr>
      <w:r>
        <w:rPr>
          <w:rFonts w:hint="eastAsia"/>
          <w:spacing w:val="6"/>
          <w:w w:val="95"/>
          <w:sz w:val="32"/>
          <w:lang w:val="en-US"/>
        </w:rPr>
        <w:t>7</w:t>
      </w:r>
      <w:r>
        <w:rPr>
          <w:spacing w:val="6"/>
          <w:w w:val="95"/>
          <w:sz w:val="32"/>
        </w:rPr>
        <w:t>.参与银行提供的以上材料必须真实有效，任何一项的</w:t>
      </w:r>
    </w:p>
    <w:p w14:paraId="5F5831A1">
      <w:pPr>
        <w:pStyle w:val="4"/>
        <w:spacing w:before="3" w:line="600" w:lineRule="exact"/>
        <w:ind w:left="1180"/>
      </w:pPr>
      <w:r>
        <w:t>虚假将导致其响应文件作废。</w:t>
      </w:r>
    </w:p>
    <w:p w14:paraId="1E00C278">
      <w:pPr>
        <w:pStyle w:val="4"/>
        <w:spacing w:before="214" w:line="600" w:lineRule="exact"/>
        <w:ind w:left="1820"/>
        <w:rPr>
          <w:rFonts w:ascii="黑体" w:eastAsia="黑体"/>
        </w:rPr>
      </w:pPr>
      <w:r>
        <w:rPr>
          <w:rFonts w:hint="eastAsia" w:ascii="黑体" w:eastAsia="黑体"/>
        </w:rPr>
        <w:t>八、响应文件要求</w:t>
      </w:r>
    </w:p>
    <w:p w14:paraId="357DF58D">
      <w:pPr>
        <w:pStyle w:val="12"/>
        <w:numPr>
          <w:ilvl w:val="0"/>
          <w:numId w:val="4"/>
        </w:numPr>
        <w:tabs>
          <w:tab w:val="left" w:pos="2143"/>
        </w:tabs>
        <w:spacing w:line="600" w:lineRule="exact"/>
        <w:ind w:right="1157" w:firstLine="640"/>
        <w:jc w:val="both"/>
        <w:rPr>
          <w:spacing w:val="4"/>
          <w:sz w:val="32"/>
        </w:rPr>
      </w:pPr>
      <w:r>
        <w:rPr>
          <w:spacing w:val="4"/>
          <w:sz w:val="32"/>
        </w:rPr>
        <w:t>响应文件一式</w:t>
      </w:r>
      <w:r>
        <w:rPr>
          <w:rFonts w:hint="eastAsia"/>
          <w:spacing w:val="4"/>
          <w:sz w:val="32"/>
          <w:lang w:val="en-US"/>
        </w:rPr>
        <w:t>五</w:t>
      </w:r>
      <w:r>
        <w:rPr>
          <w:spacing w:val="4"/>
          <w:sz w:val="32"/>
        </w:rPr>
        <w:t>份（一份正本、</w:t>
      </w:r>
      <w:r>
        <w:rPr>
          <w:rFonts w:hint="eastAsia"/>
          <w:spacing w:val="4"/>
          <w:sz w:val="32"/>
          <w:lang w:val="en-US"/>
        </w:rPr>
        <w:t>四</w:t>
      </w:r>
      <w:r>
        <w:rPr>
          <w:spacing w:val="4"/>
          <w:sz w:val="32"/>
        </w:rPr>
        <w:t>份副本），电子版本一份。其中正本必须注明“正本”字样，正、 副本及电子版本内容必须保持一致，副本可以使用复印件。若正本与副本或电子版本不符，以正本为准。</w:t>
      </w:r>
    </w:p>
    <w:p w14:paraId="54190C14">
      <w:pPr>
        <w:pStyle w:val="12"/>
        <w:numPr>
          <w:ilvl w:val="0"/>
          <w:numId w:val="4"/>
        </w:numPr>
        <w:tabs>
          <w:tab w:val="left" w:pos="2143"/>
        </w:tabs>
        <w:spacing w:line="600" w:lineRule="exact"/>
        <w:ind w:right="1157" w:firstLine="640"/>
        <w:jc w:val="both"/>
        <w:rPr>
          <w:spacing w:val="4"/>
          <w:sz w:val="32"/>
        </w:rPr>
      </w:pPr>
      <w:r>
        <w:rPr>
          <w:spacing w:val="4"/>
          <w:sz w:val="32"/>
        </w:rPr>
        <w:t>响应文件所有书面文字在A4竖版页面中编辑，用中文编写。</w:t>
      </w:r>
    </w:p>
    <w:p w14:paraId="6C9FEC56">
      <w:pPr>
        <w:pStyle w:val="12"/>
        <w:numPr>
          <w:ilvl w:val="0"/>
          <w:numId w:val="4"/>
        </w:numPr>
        <w:tabs>
          <w:tab w:val="left" w:pos="2143"/>
        </w:tabs>
        <w:spacing w:line="600" w:lineRule="exact"/>
        <w:ind w:right="1157" w:firstLine="640"/>
        <w:jc w:val="both"/>
        <w:rPr>
          <w:spacing w:val="4"/>
          <w:sz w:val="32"/>
        </w:rPr>
      </w:pPr>
      <w:r>
        <w:rPr>
          <w:spacing w:val="4"/>
          <w:sz w:val="32"/>
        </w:rPr>
        <w:t>年利率保留至小数点后三位。</w:t>
      </w:r>
    </w:p>
    <w:p w14:paraId="18F0AAC4">
      <w:pPr>
        <w:pStyle w:val="12"/>
        <w:numPr>
          <w:ilvl w:val="0"/>
          <w:numId w:val="4"/>
        </w:numPr>
        <w:tabs>
          <w:tab w:val="left" w:pos="2143"/>
        </w:tabs>
        <w:spacing w:line="600" w:lineRule="exact"/>
        <w:ind w:right="1157" w:firstLine="640"/>
        <w:jc w:val="both"/>
        <w:rPr>
          <w:spacing w:val="4"/>
          <w:sz w:val="32"/>
        </w:rPr>
      </w:pPr>
      <w:r>
        <w:rPr>
          <w:spacing w:val="4"/>
          <w:sz w:val="32"/>
        </w:rPr>
        <w:t>响应文件有效期：参与银行递交的响应文件应在现场递交截止日后 90 天内保持有效。</w:t>
      </w:r>
    </w:p>
    <w:p w14:paraId="6576B5AF">
      <w:pPr>
        <w:pStyle w:val="12"/>
        <w:numPr>
          <w:ilvl w:val="0"/>
          <w:numId w:val="4"/>
        </w:numPr>
        <w:tabs>
          <w:tab w:val="left" w:pos="2143"/>
        </w:tabs>
        <w:spacing w:line="600" w:lineRule="exact"/>
        <w:ind w:right="1157" w:firstLine="640"/>
        <w:jc w:val="both"/>
        <w:rPr>
          <w:spacing w:val="4"/>
          <w:sz w:val="32"/>
        </w:rPr>
      </w:pPr>
      <w:r>
        <w:rPr>
          <w:spacing w:val="4"/>
          <w:sz w:val="32"/>
        </w:rPr>
        <w:t>成交银行提供资金存放服务期间不得改变响应文件 中的主要条款和实质性内容。</w:t>
      </w:r>
    </w:p>
    <w:p w14:paraId="4390F393">
      <w:pPr>
        <w:pStyle w:val="12"/>
        <w:numPr>
          <w:ilvl w:val="0"/>
          <w:numId w:val="4"/>
        </w:numPr>
        <w:tabs>
          <w:tab w:val="left" w:pos="2143"/>
        </w:tabs>
        <w:spacing w:line="600" w:lineRule="exact"/>
        <w:ind w:right="1157" w:firstLine="640"/>
        <w:jc w:val="both"/>
        <w:rPr>
          <w:spacing w:val="13"/>
          <w:w w:val="95"/>
          <w:sz w:val="32"/>
        </w:rPr>
      </w:pPr>
      <w:r>
        <w:rPr>
          <w:spacing w:val="13"/>
          <w:w w:val="95"/>
          <w:sz w:val="32"/>
        </w:rPr>
        <w:t>所有响应文件需加盖参与银行公章及骑缝章。</w:t>
      </w:r>
    </w:p>
    <w:p w14:paraId="5AE54D8E">
      <w:pPr>
        <w:pStyle w:val="4"/>
        <w:spacing w:before="214" w:line="600" w:lineRule="exact"/>
        <w:ind w:left="1820"/>
        <w:rPr>
          <w:rFonts w:ascii="黑体" w:eastAsia="黑体"/>
        </w:rPr>
      </w:pPr>
      <w:r>
        <w:rPr>
          <w:rFonts w:hint="eastAsia" w:ascii="黑体" w:eastAsia="黑体"/>
        </w:rPr>
        <w:t>九、响应文件递交</w:t>
      </w:r>
    </w:p>
    <w:p w14:paraId="4768211B">
      <w:pPr>
        <w:pStyle w:val="4"/>
        <w:spacing w:before="214" w:line="600" w:lineRule="exact"/>
        <w:ind w:left="1820"/>
        <w:rPr>
          <w:lang w:val="en-US"/>
        </w:rPr>
      </w:pPr>
      <w:r>
        <w:rPr>
          <w:spacing w:val="-14"/>
        </w:rPr>
        <w:t>现场递交地址</w:t>
      </w:r>
      <w:r>
        <w:rPr>
          <w:rFonts w:hint="eastAsia"/>
          <w:spacing w:val="-14"/>
        </w:rPr>
        <w:t>（可邮寄）</w:t>
      </w:r>
      <w:r>
        <w:rPr>
          <w:spacing w:val="-14"/>
        </w:rPr>
        <w:t>：上海市</w:t>
      </w:r>
      <w:r>
        <w:rPr>
          <w:rFonts w:hint="eastAsia"/>
          <w:spacing w:val="-14"/>
        </w:rPr>
        <w:t>浦东新区源深路3</w:t>
      </w:r>
      <w:r>
        <w:rPr>
          <w:spacing w:val="-14"/>
        </w:rPr>
        <w:t>05</w:t>
      </w:r>
      <w:r>
        <w:rPr>
          <w:rFonts w:hint="eastAsia"/>
          <w:spacing w:val="-14"/>
        </w:rPr>
        <w:t>号</w:t>
      </w:r>
    </w:p>
    <w:p w14:paraId="217E8D7F">
      <w:pPr>
        <w:pStyle w:val="4"/>
        <w:spacing w:before="214" w:line="600" w:lineRule="exact"/>
        <w:ind w:left="1820" w:right="1945" w:firstLine="2078"/>
      </w:pPr>
      <w:r>
        <w:t>联系人：</w:t>
      </w:r>
      <w:r>
        <w:rPr>
          <w:rFonts w:hint="eastAsia"/>
        </w:rPr>
        <w:t>徐珈琪</w:t>
      </w:r>
    </w:p>
    <w:p w14:paraId="029B1167">
      <w:pPr>
        <w:pStyle w:val="4"/>
        <w:spacing w:before="2" w:line="600" w:lineRule="exact"/>
        <w:ind w:left="1820"/>
        <w:rPr>
          <w:lang w:val="en-US"/>
        </w:rPr>
      </w:pPr>
      <w:r>
        <w:t>联系电话：021-</w:t>
      </w:r>
      <w:r>
        <w:rPr>
          <w:rFonts w:hint="eastAsia"/>
          <w:lang w:val="en-US"/>
        </w:rPr>
        <w:t>53211</w:t>
      </w:r>
      <w:r>
        <w:rPr>
          <w:lang w:val="en-US"/>
        </w:rPr>
        <w:t>551</w:t>
      </w:r>
      <w:r>
        <w:t>，13661819483</w:t>
      </w:r>
    </w:p>
    <w:p w14:paraId="4E32DDB4">
      <w:pPr>
        <w:pStyle w:val="4"/>
        <w:spacing w:before="214" w:line="600" w:lineRule="exact"/>
        <w:ind w:left="1775"/>
        <w:rPr>
          <w:highlight w:val="none"/>
          <w:lang w:val="en-US"/>
        </w:rPr>
      </w:pPr>
      <w:r>
        <w:rPr>
          <w:highlight w:val="none"/>
        </w:rPr>
        <w:t>现场递交截止时间：</w:t>
      </w:r>
      <w:r>
        <w:rPr>
          <w:rFonts w:hint="eastAsia"/>
          <w:highlight w:val="none"/>
          <w:lang w:val="en-US"/>
        </w:rPr>
        <w:t>202</w:t>
      </w:r>
      <w:r>
        <w:rPr>
          <w:rFonts w:hint="eastAsia"/>
          <w:highlight w:val="none"/>
          <w:lang w:val="en-US" w:eastAsia="zh-CN"/>
        </w:rPr>
        <w:t>6</w:t>
      </w:r>
      <w:r>
        <w:rPr>
          <w:rFonts w:hint="eastAsia"/>
          <w:highlight w:val="none"/>
          <w:lang w:val="en-US"/>
        </w:rPr>
        <w:t>年</w:t>
      </w:r>
      <w:r>
        <w:rPr>
          <w:rFonts w:hint="eastAsia"/>
          <w:highlight w:val="none"/>
          <w:lang w:val="en-US" w:eastAsia="zh-CN"/>
        </w:rPr>
        <w:t>7</w:t>
      </w:r>
      <w:r>
        <w:rPr>
          <w:rFonts w:hint="eastAsia"/>
          <w:highlight w:val="none"/>
          <w:lang w:val="en-US"/>
        </w:rPr>
        <w:t>月</w:t>
      </w:r>
      <w:r>
        <w:rPr>
          <w:rFonts w:hint="eastAsia"/>
          <w:highlight w:val="none"/>
          <w:lang w:val="en-US" w:eastAsia="zh-CN"/>
        </w:rPr>
        <w:t>17</w:t>
      </w:r>
      <w:r>
        <w:rPr>
          <w:rFonts w:hint="eastAsia"/>
          <w:highlight w:val="none"/>
          <w:lang w:val="en-US"/>
        </w:rPr>
        <w:t>日</w:t>
      </w:r>
      <w:r>
        <w:rPr>
          <w:highlight w:val="none"/>
          <w:lang w:val="en-US"/>
        </w:rPr>
        <w:t>17</w:t>
      </w:r>
      <w:r>
        <w:rPr>
          <w:rFonts w:hint="eastAsia"/>
          <w:highlight w:val="none"/>
          <w:lang w:val="en-US"/>
        </w:rPr>
        <w:t>点</w:t>
      </w:r>
    </w:p>
    <w:p w14:paraId="29B682D1">
      <w:pPr>
        <w:pStyle w:val="4"/>
        <w:spacing w:before="214" w:line="600" w:lineRule="exact"/>
        <w:ind w:left="1775"/>
        <w:rPr>
          <w:highlight w:val="none"/>
          <w:lang w:val="en-US"/>
        </w:rPr>
      </w:pPr>
      <w:r>
        <w:rPr>
          <w:highlight w:val="none"/>
        </w:rPr>
        <w:t>现场评选时间：</w:t>
      </w:r>
      <w:r>
        <w:rPr>
          <w:rFonts w:hint="eastAsia"/>
          <w:highlight w:val="none"/>
          <w:lang w:val="en-US"/>
        </w:rPr>
        <w:t>202</w:t>
      </w:r>
      <w:r>
        <w:rPr>
          <w:rFonts w:hint="eastAsia"/>
          <w:highlight w:val="none"/>
          <w:lang w:val="en-US" w:eastAsia="zh-CN"/>
        </w:rPr>
        <w:t>6</w:t>
      </w:r>
      <w:r>
        <w:rPr>
          <w:rFonts w:hint="eastAsia"/>
          <w:highlight w:val="none"/>
          <w:lang w:val="en-US"/>
        </w:rPr>
        <w:t>年</w:t>
      </w:r>
      <w:r>
        <w:rPr>
          <w:rFonts w:hint="eastAsia"/>
          <w:highlight w:val="none"/>
          <w:lang w:val="en-US" w:eastAsia="zh-CN"/>
        </w:rPr>
        <w:t>7</w:t>
      </w:r>
      <w:r>
        <w:rPr>
          <w:rFonts w:hint="eastAsia"/>
          <w:highlight w:val="none"/>
          <w:lang w:val="en-US"/>
        </w:rPr>
        <w:t>月</w:t>
      </w:r>
      <w:r>
        <w:rPr>
          <w:rFonts w:hint="eastAsia"/>
          <w:highlight w:val="none"/>
          <w:lang w:val="en-US" w:eastAsia="zh-CN"/>
        </w:rPr>
        <w:t>31</w:t>
      </w:r>
      <w:r>
        <w:rPr>
          <w:rFonts w:hint="eastAsia"/>
          <w:highlight w:val="none"/>
          <w:lang w:val="en-US"/>
        </w:rPr>
        <w:t>日</w:t>
      </w:r>
      <w:r>
        <w:rPr>
          <w:highlight w:val="none"/>
          <w:lang w:val="en-US"/>
        </w:rPr>
        <w:t>10</w:t>
      </w:r>
      <w:r>
        <w:rPr>
          <w:rFonts w:hint="eastAsia"/>
          <w:highlight w:val="none"/>
          <w:lang w:val="en-US"/>
        </w:rPr>
        <w:t>点</w:t>
      </w:r>
    </w:p>
    <w:p w14:paraId="74740E48">
      <w:pPr>
        <w:pStyle w:val="4"/>
        <w:spacing w:before="214" w:line="600" w:lineRule="exact"/>
        <w:ind w:left="1180" w:right="1160" w:firstLine="640"/>
        <w:jc w:val="both"/>
      </w:pPr>
      <w:r>
        <w:rPr>
          <w:spacing w:val="-2"/>
        </w:rPr>
        <w:t>参与银行应将响应文件正本、所有副本及电子文档</w:t>
      </w:r>
      <w:r>
        <w:rPr>
          <w:spacing w:val="-29"/>
          <w:w w:val="95"/>
        </w:rPr>
        <w:t>密封，且在信封上注明“正本”、“副本”、“电子文档”等字</w:t>
      </w:r>
      <w:r>
        <w:rPr>
          <w:spacing w:val="-29"/>
        </w:rPr>
        <w:t>样。</w:t>
      </w:r>
    </w:p>
    <w:p w14:paraId="182B89A9">
      <w:pPr>
        <w:pStyle w:val="4"/>
        <w:spacing w:before="2" w:line="600" w:lineRule="exact"/>
        <w:ind w:left="1820"/>
        <w:rPr>
          <w:rFonts w:ascii="黑体" w:eastAsia="黑体"/>
        </w:rPr>
      </w:pPr>
      <w:r>
        <w:rPr>
          <w:rFonts w:hint="eastAsia" w:ascii="黑体" w:eastAsia="黑体"/>
        </w:rPr>
        <w:t>十、成交原则</w:t>
      </w:r>
    </w:p>
    <w:p w14:paraId="12E93067">
      <w:pPr>
        <w:pStyle w:val="4"/>
        <w:spacing w:before="214" w:line="600" w:lineRule="exact"/>
        <w:ind w:left="1180" w:right="1157" w:firstLine="640"/>
        <w:jc w:val="both"/>
      </w:pPr>
      <w:r>
        <w:rPr>
          <w:spacing w:val="-1"/>
        </w:rPr>
        <w:t>按照选取定期存款银行计分方法进行综合评分，确定所</w:t>
      </w:r>
      <w:r>
        <w:rPr>
          <w:spacing w:val="11"/>
          <w:w w:val="95"/>
        </w:rPr>
        <w:t>有参与银行中评分排名前</w:t>
      </w:r>
      <w:r>
        <w:rPr>
          <w:rFonts w:hint="eastAsia"/>
          <w:spacing w:val="11"/>
          <w:w w:val="95"/>
          <w:lang w:val="en-US"/>
        </w:rPr>
        <w:t>二</w:t>
      </w:r>
      <w:r>
        <w:rPr>
          <w:spacing w:val="11"/>
          <w:w w:val="95"/>
        </w:rPr>
        <w:t>位的银行成为定期存款存放银</w:t>
      </w:r>
      <w:r>
        <w:rPr>
          <w:spacing w:val="-1"/>
          <w:w w:val="95"/>
        </w:rPr>
        <w:t>行。</w:t>
      </w:r>
      <w:r>
        <w:rPr>
          <w:rFonts w:hint="eastAsia" w:ascii="仿宋" w:hAnsi="仿宋" w:eastAsia="仿宋" w:cs="仿宋"/>
          <w:sz w:val="32"/>
          <w:szCs w:val="32"/>
          <w:lang w:val="en-US" w:eastAsia="zh-CN"/>
        </w:rPr>
        <w:t>如参与银行仅为2家，则选择评分排名最高的银行</w:t>
      </w:r>
      <w:r>
        <w:rPr>
          <w:rFonts w:hint="eastAsia" w:ascii="仿宋" w:hAnsi="仿宋" w:eastAsia="仿宋" w:cs="仿宋"/>
          <w:sz w:val="32"/>
          <w:szCs w:val="32"/>
        </w:rPr>
        <w:t>成为定期存款存放银行。</w:t>
      </w:r>
      <w:r>
        <w:rPr>
          <w:spacing w:val="-1"/>
          <w:w w:val="95"/>
        </w:rPr>
        <w:t>若入选银行放弃成交，则按评分排名顺序由高到低依次</w:t>
      </w:r>
      <w:r>
        <w:rPr>
          <w:spacing w:val="-1"/>
        </w:rPr>
        <w:t>递补入选。</w:t>
      </w:r>
    </w:p>
    <w:p w14:paraId="55EB84AE">
      <w:pPr>
        <w:pStyle w:val="4"/>
        <w:spacing w:before="3" w:line="600" w:lineRule="exact"/>
        <w:ind w:left="1180" w:right="1160" w:firstLine="640"/>
        <w:jc w:val="both"/>
      </w:pPr>
      <w:r>
        <w:rPr>
          <w:spacing w:val="-3"/>
        </w:rPr>
        <w:t>参与银行报价和服务承诺一经认可，即视为成交，不可</w:t>
      </w:r>
      <w:r>
        <w:rPr>
          <w:spacing w:val="-5"/>
        </w:rPr>
        <w:t>撤回。如撤回，该银行今后三年内不得参与我单位资金存放</w:t>
      </w:r>
      <w:r>
        <w:t>项目。</w:t>
      </w:r>
    </w:p>
    <w:p w14:paraId="64D9BE91">
      <w:pPr>
        <w:pStyle w:val="4"/>
        <w:spacing w:before="3" w:line="600" w:lineRule="exact"/>
        <w:ind w:left="1180" w:right="1160" w:firstLine="640"/>
        <w:jc w:val="both"/>
      </w:pPr>
    </w:p>
    <w:p w14:paraId="5D397024">
      <w:pPr>
        <w:pStyle w:val="4"/>
        <w:spacing w:before="3" w:line="360" w:lineRule="auto"/>
        <w:ind w:left="1180" w:right="1160" w:firstLine="640"/>
        <w:jc w:val="both"/>
      </w:pPr>
    </w:p>
    <w:p w14:paraId="2E9B65E2">
      <w:pPr>
        <w:pStyle w:val="4"/>
        <w:spacing w:before="3" w:line="360" w:lineRule="auto"/>
        <w:ind w:left="1180" w:right="1160" w:firstLine="640"/>
        <w:jc w:val="both"/>
      </w:pPr>
      <w:r>
        <w:rPr>
          <w:rFonts w:hint="eastAsia"/>
        </w:rPr>
        <w:t>附件：1.评分项目及评审说明</w:t>
      </w:r>
    </w:p>
    <w:p w14:paraId="04CB1B20">
      <w:pPr>
        <w:pStyle w:val="4"/>
        <w:spacing w:before="3" w:line="360" w:lineRule="auto"/>
        <w:ind w:left="1180" w:right="1160" w:firstLine="1568" w:firstLineChars="490"/>
        <w:jc w:val="both"/>
      </w:pPr>
      <w:r>
        <w:rPr>
          <w:rFonts w:hint="eastAsia"/>
        </w:rPr>
        <w:t>2.响应函</w:t>
      </w:r>
    </w:p>
    <w:p w14:paraId="54A4EAB2">
      <w:pPr>
        <w:pStyle w:val="12"/>
        <w:tabs>
          <w:tab w:val="left" w:pos="3103"/>
        </w:tabs>
        <w:spacing w:before="1"/>
        <w:ind w:left="2779" w:firstLine="0"/>
        <w:rPr>
          <w:sz w:val="32"/>
          <w:szCs w:val="32"/>
        </w:rPr>
      </w:pPr>
      <w:r>
        <w:rPr>
          <w:rFonts w:hint="eastAsia"/>
          <w:sz w:val="32"/>
          <w:szCs w:val="32"/>
          <w:lang w:val="en-US"/>
        </w:rPr>
        <w:t>3.</w:t>
      </w:r>
      <w:r>
        <w:rPr>
          <w:rFonts w:hint="eastAsia"/>
          <w:sz w:val="32"/>
          <w:szCs w:val="32"/>
        </w:rPr>
        <w:t>授权书</w:t>
      </w:r>
    </w:p>
    <w:p w14:paraId="4725E8D5">
      <w:pPr>
        <w:pStyle w:val="12"/>
        <w:tabs>
          <w:tab w:val="left" w:pos="3103"/>
        </w:tabs>
        <w:ind w:left="2779" w:firstLine="0"/>
        <w:rPr>
          <w:sz w:val="32"/>
          <w:szCs w:val="32"/>
        </w:rPr>
      </w:pPr>
      <w:r>
        <w:rPr>
          <w:rFonts w:hint="eastAsia"/>
          <w:sz w:val="32"/>
          <w:szCs w:val="32"/>
          <w:lang w:val="en-US"/>
        </w:rPr>
        <w:t>4.</w:t>
      </w:r>
      <w:r>
        <w:rPr>
          <w:rFonts w:hint="eastAsia"/>
          <w:sz w:val="32"/>
          <w:szCs w:val="32"/>
        </w:rPr>
        <w:t>廉洁承诺书</w:t>
      </w:r>
    </w:p>
    <w:p w14:paraId="3989C957">
      <w:pPr>
        <w:pStyle w:val="4"/>
        <w:spacing w:before="214"/>
        <w:ind w:left="2780"/>
      </w:pPr>
      <w:r>
        <w:rPr>
          <w:rFonts w:hint="eastAsia"/>
          <w:lang w:val="en-US"/>
        </w:rPr>
        <w:t>5.202</w:t>
      </w:r>
      <w:r>
        <w:rPr>
          <w:rFonts w:hint="eastAsia"/>
          <w:lang w:val="en-US" w:eastAsia="zh-CN"/>
        </w:rPr>
        <w:t>5</w:t>
      </w:r>
      <w:r>
        <w:rPr>
          <w:rFonts w:hint="eastAsia"/>
        </w:rPr>
        <w:t>年银行经营状况</w:t>
      </w:r>
    </w:p>
    <w:p w14:paraId="14B54AD5">
      <w:pPr>
        <w:pStyle w:val="4"/>
        <w:spacing w:before="214"/>
        <w:ind w:left="2780"/>
      </w:pPr>
      <w:r>
        <w:rPr>
          <w:rFonts w:hint="eastAsia"/>
        </w:rPr>
        <w:t>6.报价函</w:t>
      </w:r>
    </w:p>
    <w:p w14:paraId="4A2CBEA5">
      <w:pPr>
        <w:pStyle w:val="4"/>
      </w:pPr>
    </w:p>
    <w:p w14:paraId="33858D5E">
      <w:pPr>
        <w:pStyle w:val="4"/>
      </w:pPr>
    </w:p>
    <w:p w14:paraId="74482521">
      <w:pPr>
        <w:pStyle w:val="4"/>
      </w:pPr>
    </w:p>
    <w:p w14:paraId="6151AB5F">
      <w:pPr>
        <w:pStyle w:val="4"/>
        <w:spacing w:before="10"/>
        <w:rPr>
          <w:sz w:val="34"/>
        </w:rPr>
      </w:pPr>
    </w:p>
    <w:p w14:paraId="018E9128">
      <w:pPr>
        <w:pStyle w:val="4"/>
        <w:spacing w:before="1" w:line="364" w:lineRule="auto"/>
        <w:ind w:left="5980" w:right="1784" w:hanging="320"/>
        <w:jc w:val="right"/>
        <w:rPr>
          <w:spacing w:val="-2"/>
          <w:lang w:val="en-US"/>
        </w:rPr>
      </w:pPr>
      <w:r>
        <w:rPr>
          <w:rFonts w:hint="eastAsia"/>
          <w:spacing w:val="-2"/>
          <w:lang w:val="en-US"/>
        </w:rPr>
        <w:t>上海资信有限公司</w:t>
      </w:r>
    </w:p>
    <w:p w14:paraId="690583F2">
      <w:pPr>
        <w:pStyle w:val="4"/>
        <w:spacing w:before="1" w:line="364" w:lineRule="auto"/>
        <w:ind w:left="5980" w:right="1784" w:hanging="320"/>
        <w:jc w:val="right"/>
        <w:rPr>
          <w:spacing w:val="-41"/>
          <w:highlight w:val="none"/>
        </w:rPr>
      </w:pPr>
      <w:r>
        <w:rPr>
          <w:rFonts w:hint="eastAsia"/>
          <w:highlight w:val="none"/>
          <w:lang w:val="en-US"/>
        </w:rPr>
        <w:t>202</w:t>
      </w:r>
      <w:r>
        <w:rPr>
          <w:rFonts w:hint="eastAsia"/>
          <w:highlight w:val="none"/>
          <w:lang w:val="en-US" w:eastAsia="zh-CN"/>
        </w:rPr>
        <w:t>6</w:t>
      </w:r>
      <w:r>
        <w:rPr>
          <w:spacing w:val="-54"/>
          <w:highlight w:val="none"/>
        </w:rPr>
        <w:t>年</w:t>
      </w:r>
      <w:r>
        <w:rPr>
          <w:rFonts w:hint="eastAsia"/>
          <w:highlight w:val="none"/>
          <w:lang w:val="en-US" w:eastAsia="zh-CN"/>
        </w:rPr>
        <w:t>5</w:t>
      </w:r>
      <w:r>
        <w:rPr>
          <w:spacing w:val="-54"/>
          <w:highlight w:val="none"/>
        </w:rPr>
        <w:t>月</w:t>
      </w:r>
      <w:r>
        <w:rPr>
          <w:rFonts w:hint="eastAsia"/>
          <w:spacing w:val="-54"/>
          <w:highlight w:val="none"/>
          <w:lang w:val="en-US" w:eastAsia="zh-CN"/>
        </w:rPr>
        <w:t>20</w:t>
      </w:r>
      <w:r>
        <w:rPr>
          <w:rFonts w:hint="eastAsia"/>
          <w:highlight w:val="none"/>
          <w:lang w:val="en-US"/>
        </w:rPr>
        <w:t>日</w:t>
      </w:r>
      <w:r>
        <w:rPr>
          <w:spacing w:val="-41"/>
          <w:highlight w:val="none"/>
        </w:rPr>
        <w:t xml:space="preserve"> </w:t>
      </w:r>
    </w:p>
    <w:p w14:paraId="031DB904">
      <w:pPr>
        <w:pStyle w:val="4"/>
        <w:spacing w:before="1" w:line="364" w:lineRule="auto"/>
        <w:ind w:right="1784"/>
        <w:rPr>
          <w:spacing w:val="-41"/>
          <w:highlight w:val="none"/>
        </w:rPr>
        <w:sectPr>
          <w:footerReference r:id="rId3" w:type="default"/>
          <w:pgSz w:w="11910" w:h="16840"/>
          <w:pgMar w:top="1580" w:right="640" w:bottom="1380" w:left="620" w:header="0" w:footer="1196" w:gutter="0"/>
          <w:cols w:space="720" w:num="1"/>
        </w:sectPr>
      </w:pPr>
    </w:p>
    <w:p w14:paraId="463FA16D">
      <w:pPr>
        <w:pStyle w:val="2"/>
        <w:ind w:left="100"/>
        <w:rPr>
          <w:rFonts w:ascii="仿宋" w:hAnsi="仿宋" w:eastAsia="仿宋" w:cs="仿宋"/>
          <w:sz w:val="32"/>
          <w:szCs w:val="32"/>
          <w:lang w:val="en-US"/>
        </w:rPr>
      </w:pPr>
      <w:r>
        <w:rPr>
          <w:rFonts w:hint="eastAsia" w:ascii="仿宋" w:hAnsi="仿宋" w:eastAsia="仿宋" w:cs="仿宋"/>
          <w:sz w:val="32"/>
          <w:szCs w:val="32"/>
          <w:lang w:val="en-US"/>
        </w:rPr>
        <w:t>附件1</w:t>
      </w:r>
    </w:p>
    <w:p w14:paraId="075C8F76">
      <w:pPr>
        <w:pStyle w:val="2"/>
        <w:ind w:left="100"/>
      </w:pPr>
    </w:p>
    <w:p w14:paraId="2AE590EA">
      <w:pPr>
        <w:pStyle w:val="2"/>
        <w:ind w:left="100"/>
      </w:pPr>
    </w:p>
    <w:p w14:paraId="4371CEBD">
      <w:pPr>
        <w:pStyle w:val="2"/>
        <w:ind w:left="100"/>
      </w:pPr>
    </w:p>
    <w:p w14:paraId="3C3644CB">
      <w:pPr>
        <w:pStyle w:val="2"/>
        <w:ind w:left="100"/>
      </w:pPr>
      <w:r>
        <w:t>评分项目及评审说明</w:t>
      </w:r>
    </w:p>
    <w:p w14:paraId="6280B7BF">
      <w:pPr>
        <w:sectPr>
          <w:footerReference r:id="rId4" w:type="default"/>
          <w:pgSz w:w="11910" w:h="16840"/>
          <w:pgMar w:top="780" w:right="640" w:bottom="1160" w:left="620" w:header="0" w:footer="970" w:gutter="0"/>
          <w:pgNumType w:start="6"/>
          <w:cols w:equalWidth="0" w:num="2">
            <w:col w:w="941" w:space="2311"/>
            <w:col w:w="7398"/>
          </w:cols>
        </w:sectPr>
      </w:pPr>
    </w:p>
    <w:p w14:paraId="418D7051">
      <w:pPr>
        <w:pStyle w:val="4"/>
        <w:spacing w:before="9" w:after="1"/>
        <w:rPr>
          <w:rFonts w:ascii="宋体"/>
          <w:sz w:val="26"/>
        </w:rPr>
      </w:pPr>
    </w:p>
    <w:tbl>
      <w:tblPr>
        <w:tblStyle w:val="8"/>
        <w:tblW w:w="0" w:type="auto"/>
        <w:tblInd w:w="60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5"/>
        <w:gridCol w:w="395"/>
        <w:gridCol w:w="1287"/>
        <w:gridCol w:w="450"/>
        <w:gridCol w:w="2445"/>
        <w:gridCol w:w="4261"/>
      </w:tblGrid>
      <w:tr w14:paraId="16F41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635" w:type="dxa"/>
            <w:vAlign w:val="center"/>
          </w:tcPr>
          <w:p w14:paraId="72572B40">
            <w:pPr>
              <w:pStyle w:val="13"/>
              <w:keepNext w:val="0"/>
              <w:keepLines w:val="0"/>
              <w:pageBreakBefore w:val="0"/>
              <w:widowControl w:val="0"/>
              <w:kinsoku/>
              <w:wordWrap/>
              <w:overflowPunct/>
              <w:topLinePunct w:val="0"/>
              <w:autoSpaceDE w:val="0"/>
              <w:autoSpaceDN w:val="0"/>
              <w:bidi w:val="0"/>
              <w:adjustRightInd/>
              <w:snapToGrid/>
              <w:spacing w:line="240" w:lineRule="auto"/>
              <w:ind w:left="103" w:right="35"/>
              <w:jc w:val="center"/>
              <w:textAlignment w:val="auto"/>
              <w:rPr>
                <w:b/>
                <w:sz w:val="18"/>
                <w:szCs w:val="18"/>
              </w:rPr>
            </w:pPr>
            <w:r>
              <w:rPr>
                <w:b/>
                <w:sz w:val="21"/>
                <w:szCs w:val="21"/>
              </w:rPr>
              <w:t>评分项目</w:t>
            </w:r>
          </w:p>
        </w:tc>
        <w:tc>
          <w:tcPr>
            <w:tcW w:w="395" w:type="dxa"/>
            <w:vAlign w:val="center"/>
          </w:tcPr>
          <w:p w14:paraId="61D2BA2C">
            <w:pPr>
              <w:pStyle w:val="13"/>
              <w:keepNext w:val="0"/>
              <w:keepLines w:val="0"/>
              <w:pageBreakBefore w:val="0"/>
              <w:widowControl w:val="0"/>
              <w:kinsoku/>
              <w:wordWrap/>
              <w:overflowPunct/>
              <w:topLinePunct w:val="0"/>
              <w:autoSpaceDE w:val="0"/>
              <w:autoSpaceDN w:val="0"/>
              <w:bidi w:val="0"/>
              <w:adjustRightInd/>
              <w:snapToGrid/>
              <w:spacing w:line="240" w:lineRule="auto"/>
              <w:ind w:left="60"/>
              <w:jc w:val="center"/>
              <w:textAlignment w:val="auto"/>
              <w:rPr>
                <w:b/>
                <w:sz w:val="18"/>
                <w:szCs w:val="18"/>
              </w:rPr>
            </w:pPr>
            <w:r>
              <w:rPr>
                <w:b/>
                <w:sz w:val="21"/>
                <w:szCs w:val="21"/>
              </w:rPr>
              <w:t>类别</w:t>
            </w:r>
          </w:p>
        </w:tc>
        <w:tc>
          <w:tcPr>
            <w:tcW w:w="1287" w:type="dxa"/>
            <w:vAlign w:val="center"/>
          </w:tcPr>
          <w:p w14:paraId="3A54BA04">
            <w:pPr>
              <w:pStyle w:val="13"/>
              <w:keepNext w:val="0"/>
              <w:keepLines w:val="0"/>
              <w:pageBreakBefore w:val="0"/>
              <w:widowControl w:val="0"/>
              <w:kinsoku/>
              <w:wordWrap/>
              <w:overflowPunct/>
              <w:topLinePunct w:val="0"/>
              <w:autoSpaceDE w:val="0"/>
              <w:autoSpaceDN w:val="0"/>
              <w:bidi w:val="0"/>
              <w:adjustRightInd/>
              <w:snapToGrid/>
              <w:spacing w:line="240" w:lineRule="auto"/>
              <w:ind w:left="17" w:right="16"/>
              <w:jc w:val="center"/>
              <w:textAlignment w:val="auto"/>
              <w:rPr>
                <w:b/>
                <w:sz w:val="18"/>
                <w:szCs w:val="18"/>
              </w:rPr>
            </w:pPr>
            <w:r>
              <w:rPr>
                <w:b/>
                <w:sz w:val="21"/>
                <w:szCs w:val="21"/>
              </w:rPr>
              <w:t>评审内容</w:t>
            </w:r>
          </w:p>
        </w:tc>
        <w:tc>
          <w:tcPr>
            <w:tcW w:w="450" w:type="dxa"/>
            <w:vAlign w:val="center"/>
          </w:tcPr>
          <w:p w14:paraId="2DA7C187">
            <w:pPr>
              <w:pStyle w:val="13"/>
              <w:keepNext w:val="0"/>
              <w:keepLines w:val="0"/>
              <w:pageBreakBefore w:val="0"/>
              <w:widowControl w:val="0"/>
              <w:kinsoku/>
              <w:wordWrap/>
              <w:overflowPunct/>
              <w:topLinePunct w:val="0"/>
              <w:autoSpaceDE w:val="0"/>
              <w:autoSpaceDN w:val="0"/>
              <w:bidi w:val="0"/>
              <w:adjustRightInd/>
              <w:snapToGrid/>
              <w:spacing w:line="240" w:lineRule="auto"/>
              <w:ind w:left="101" w:right="62"/>
              <w:jc w:val="center"/>
              <w:textAlignment w:val="auto"/>
              <w:rPr>
                <w:b/>
                <w:sz w:val="18"/>
                <w:szCs w:val="18"/>
              </w:rPr>
            </w:pPr>
            <w:r>
              <w:rPr>
                <w:b/>
                <w:w w:val="90"/>
                <w:sz w:val="21"/>
                <w:szCs w:val="21"/>
              </w:rPr>
              <w:t>分值</w:t>
            </w:r>
          </w:p>
        </w:tc>
        <w:tc>
          <w:tcPr>
            <w:tcW w:w="6706" w:type="dxa"/>
            <w:gridSpan w:val="2"/>
            <w:vAlign w:val="center"/>
          </w:tcPr>
          <w:p w14:paraId="1D0EA18C">
            <w:pPr>
              <w:pStyle w:val="13"/>
              <w:keepNext w:val="0"/>
              <w:keepLines w:val="0"/>
              <w:pageBreakBefore w:val="0"/>
              <w:widowControl w:val="0"/>
              <w:kinsoku/>
              <w:wordWrap/>
              <w:overflowPunct/>
              <w:topLinePunct w:val="0"/>
              <w:autoSpaceDE w:val="0"/>
              <w:autoSpaceDN w:val="0"/>
              <w:bidi w:val="0"/>
              <w:adjustRightInd/>
              <w:snapToGrid/>
              <w:spacing w:line="240" w:lineRule="auto"/>
              <w:ind w:left="214" w:right="358"/>
              <w:jc w:val="center"/>
              <w:textAlignment w:val="auto"/>
              <w:rPr>
                <w:b/>
                <w:sz w:val="18"/>
                <w:szCs w:val="18"/>
              </w:rPr>
            </w:pPr>
            <w:r>
              <w:rPr>
                <w:b/>
                <w:sz w:val="21"/>
                <w:szCs w:val="21"/>
              </w:rPr>
              <w:t>评审指标及说明</w:t>
            </w:r>
          </w:p>
        </w:tc>
      </w:tr>
      <w:tr w14:paraId="3B862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trPr>
        <w:tc>
          <w:tcPr>
            <w:tcW w:w="635" w:type="dxa"/>
            <w:vMerge w:val="restart"/>
            <w:vAlign w:val="center"/>
          </w:tcPr>
          <w:p w14:paraId="4A049F85">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70F69EC3">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58B19371">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11174DD6">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5175ED92">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1F2B9908">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1AF92DCA">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55749CEB">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68C2F475">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3BF8BE57">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237CFFE5">
            <w:pPr>
              <w:pStyle w:val="13"/>
              <w:keepNext w:val="0"/>
              <w:keepLines w:val="0"/>
              <w:pageBreakBefore w:val="0"/>
              <w:widowControl w:val="0"/>
              <w:kinsoku/>
              <w:wordWrap/>
              <w:overflowPunct/>
              <w:topLinePunct w:val="0"/>
              <w:autoSpaceDE w:val="0"/>
              <w:autoSpaceDN w:val="0"/>
              <w:bidi w:val="0"/>
              <w:adjustRightInd/>
              <w:snapToGrid/>
              <w:spacing w:line="240" w:lineRule="auto"/>
              <w:ind w:left="62" w:right="75"/>
              <w:jc w:val="center"/>
              <w:textAlignment w:val="auto"/>
              <w:rPr>
                <w:b/>
                <w:sz w:val="15"/>
              </w:rPr>
            </w:pPr>
            <w:r>
              <w:rPr>
                <w:b/>
                <w:sz w:val="21"/>
                <w:szCs w:val="21"/>
              </w:rPr>
              <w:t>经营状况</w:t>
            </w:r>
          </w:p>
        </w:tc>
        <w:tc>
          <w:tcPr>
            <w:tcW w:w="395" w:type="dxa"/>
            <w:vMerge w:val="restart"/>
            <w:vAlign w:val="center"/>
          </w:tcPr>
          <w:p w14:paraId="4E40F62C">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21"/>
                <w:szCs w:val="21"/>
              </w:rPr>
            </w:pPr>
          </w:p>
          <w:p w14:paraId="4ADAB927">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21"/>
                <w:szCs w:val="21"/>
              </w:rPr>
            </w:pPr>
          </w:p>
          <w:p w14:paraId="50B5F2BC">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21"/>
                <w:szCs w:val="21"/>
              </w:rPr>
            </w:pPr>
          </w:p>
          <w:p w14:paraId="27C589C4">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21"/>
                <w:szCs w:val="21"/>
              </w:rPr>
            </w:pPr>
          </w:p>
          <w:p w14:paraId="3EE33893">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21"/>
                <w:szCs w:val="21"/>
              </w:rPr>
            </w:pPr>
          </w:p>
          <w:p w14:paraId="32A7BA61">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21"/>
                <w:szCs w:val="21"/>
              </w:rPr>
            </w:pPr>
          </w:p>
          <w:p w14:paraId="07564AF1">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21"/>
                <w:szCs w:val="21"/>
              </w:rPr>
            </w:pPr>
          </w:p>
          <w:p w14:paraId="1571F5E7">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21"/>
                <w:szCs w:val="21"/>
              </w:rPr>
            </w:pPr>
          </w:p>
          <w:p w14:paraId="63FF5768">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21"/>
                <w:szCs w:val="21"/>
              </w:rPr>
            </w:pPr>
          </w:p>
          <w:p w14:paraId="0AEE13BB">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1"/>
                <w:szCs w:val="21"/>
              </w:rPr>
            </w:pPr>
            <w:r>
              <w:rPr>
                <w:w w:val="95"/>
                <w:sz w:val="21"/>
                <w:szCs w:val="21"/>
              </w:rPr>
              <w:t>A</w:t>
            </w:r>
          </w:p>
        </w:tc>
        <w:tc>
          <w:tcPr>
            <w:tcW w:w="1287" w:type="dxa"/>
            <w:vAlign w:val="center"/>
          </w:tcPr>
          <w:p w14:paraId="22E00ED9">
            <w:pPr>
              <w:pStyle w:val="13"/>
              <w:keepNext w:val="0"/>
              <w:keepLines w:val="0"/>
              <w:pageBreakBefore w:val="0"/>
              <w:widowControl w:val="0"/>
              <w:kinsoku/>
              <w:wordWrap/>
              <w:overflowPunct/>
              <w:topLinePunct w:val="0"/>
              <w:autoSpaceDE w:val="0"/>
              <w:autoSpaceDN w:val="0"/>
              <w:bidi w:val="0"/>
              <w:adjustRightInd/>
              <w:snapToGrid/>
              <w:spacing w:line="240" w:lineRule="auto"/>
              <w:ind w:left="16" w:right="16"/>
              <w:jc w:val="center"/>
              <w:textAlignment w:val="auto"/>
              <w:rPr>
                <w:sz w:val="21"/>
                <w:szCs w:val="21"/>
              </w:rPr>
            </w:pPr>
            <w:r>
              <w:rPr>
                <w:sz w:val="21"/>
                <w:szCs w:val="21"/>
              </w:rPr>
              <w:t>资产质量</w:t>
            </w:r>
          </w:p>
        </w:tc>
        <w:tc>
          <w:tcPr>
            <w:tcW w:w="450" w:type="dxa"/>
            <w:vAlign w:val="center"/>
          </w:tcPr>
          <w:p w14:paraId="08524466">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1"/>
                <w:szCs w:val="21"/>
                <w:lang w:val="en-US"/>
              </w:rPr>
            </w:pPr>
            <w:r>
              <w:rPr>
                <w:rFonts w:hint="eastAsia"/>
                <w:sz w:val="21"/>
                <w:szCs w:val="21"/>
                <w:lang w:val="en-US"/>
              </w:rPr>
              <w:t>3</w:t>
            </w:r>
          </w:p>
        </w:tc>
        <w:tc>
          <w:tcPr>
            <w:tcW w:w="2445" w:type="dxa"/>
            <w:vAlign w:val="center"/>
          </w:tcPr>
          <w:p w14:paraId="57FB0A96">
            <w:pPr>
              <w:pStyle w:val="13"/>
              <w:keepNext w:val="0"/>
              <w:keepLines w:val="0"/>
              <w:pageBreakBefore w:val="0"/>
              <w:widowControl w:val="0"/>
              <w:kinsoku/>
              <w:wordWrap/>
              <w:overflowPunct/>
              <w:topLinePunct w:val="0"/>
              <w:autoSpaceDE w:val="0"/>
              <w:autoSpaceDN w:val="0"/>
              <w:bidi w:val="0"/>
              <w:adjustRightInd/>
              <w:snapToGrid/>
              <w:spacing w:line="240" w:lineRule="auto"/>
              <w:ind w:right="14"/>
              <w:jc w:val="center"/>
              <w:textAlignment w:val="auto"/>
              <w:rPr>
                <w:sz w:val="21"/>
                <w:szCs w:val="21"/>
              </w:rPr>
            </w:pPr>
            <w:r>
              <w:rPr>
                <w:sz w:val="21"/>
                <w:szCs w:val="21"/>
              </w:rPr>
              <w:t>净资产总额</w:t>
            </w:r>
          </w:p>
        </w:tc>
        <w:tc>
          <w:tcPr>
            <w:tcW w:w="4261" w:type="dxa"/>
            <w:vAlign w:val="center"/>
          </w:tcPr>
          <w:p w14:paraId="40542AD2">
            <w:pPr>
              <w:pStyle w:val="13"/>
              <w:keepNext w:val="0"/>
              <w:keepLines w:val="0"/>
              <w:pageBreakBefore w:val="0"/>
              <w:widowControl w:val="0"/>
              <w:kinsoku/>
              <w:wordWrap/>
              <w:overflowPunct/>
              <w:topLinePunct w:val="0"/>
              <w:autoSpaceDE w:val="0"/>
              <w:autoSpaceDN w:val="0"/>
              <w:bidi w:val="0"/>
              <w:adjustRightInd/>
              <w:snapToGrid/>
              <w:spacing w:line="240" w:lineRule="auto"/>
              <w:ind w:right="157"/>
              <w:jc w:val="center"/>
              <w:textAlignment w:val="auto"/>
              <w:rPr>
                <w:sz w:val="21"/>
                <w:szCs w:val="21"/>
              </w:rPr>
            </w:pPr>
            <w:r>
              <w:rPr>
                <w:w w:val="95"/>
                <w:sz w:val="21"/>
                <w:szCs w:val="21"/>
              </w:rPr>
              <w:t>指标最高的为3分，第二名为2分，第三名为1分，其余为0分。（见附件5）</w:t>
            </w:r>
          </w:p>
        </w:tc>
      </w:tr>
      <w:tr w14:paraId="6C3DF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635" w:type="dxa"/>
            <w:vMerge w:val="continue"/>
            <w:tcBorders>
              <w:top w:val="nil"/>
            </w:tcBorders>
            <w:vAlign w:val="center"/>
          </w:tcPr>
          <w:p w14:paraId="127073F0">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
                <w:szCs w:val="2"/>
              </w:rPr>
            </w:pPr>
          </w:p>
        </w:tc>
        <w:tc>
          <w:tcPr>
            <w:tcW w:w="395" w:type="dxa"/>
            <w:vMerge w:val="continue"/>
            <w:tcBorders>
              <w:top w:val="nil"/>
            </w:tcBorders>
            <w:vAlign w:val="center"/>
          </w:tcPr>
          <w:p w14:paraId="5732D913">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1"/>
                <w:szCs w:val="21"/>
              </w:rPr>
            </w:pPr>
          </w:p>
        </w:tc>
        <w:tc>
          <w:tcPr>
            <w:tcW w:w="1287" w:type="dxa"/>
            <w:vAlign w:val="center"/>
          </w:tcPr>
          <w:p w14:paraId="476EC967">
            <w:pPr>
              <w:pStyle w:val="13"/>
              <w:keepNext w:val="0"/>
              <w:keepLines w:val="0"/>
              <w:pageBreakBefore w:val="0"/>
              <w:widowControl w:val="0"/>
              <w:kinsoku/>
              <w:wordWrap/>
              <w:overflowPunct/>
              <w:topLinePunct w:val="0"/>
              <w:autoSpaceDE w:val="0"/>
              <w:autoSpaceDN w:val="0"/>
              <w:bidi w:val="0"/>
              <w:adjustRightInd/>
              <w:snapToGrid/>
              <w:spacing w:line="240" w:lineRule="auto"/>
              <w:ind w:left="16" w:right="16"/>
              <w:jc w:val="center"/>
              <w:textAlignment w:val="auto"/>
              <w:rPr>
                <w:sz w:val="21"/>
                <w:szCs w:val="21"/>
              </w:rPr>
            </w:pPr>
            <w:r>
              <w:rPr>
                <w:sz w:val="21"/>
                <w:szCs w:val="21"/>
              </w:rPr>
              <w:t>偿付能力</w:t>
            </w:r>
          </w:p>
        </w:tc>
        <w:tc>
          <w:tcPr>
            <w:tcW w:w="450" w:type="dxa"/>
            <w:vAlign w:val="center"/>
          </w:tcPr>
          <w:p w14:paraId="1B5C7338">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1"/>
                <w:szCs w:val="21"/>
              </w:rPr>
            </w:pPr>
            <w:r>
              <w:rPr>
                <w:w w:val="95"/>
                <w:sz w:val="21"/>
                <w:szCs w:val="21"/>
              </w:rPr>
              <w:t>4</w:t>
            </w:r>
          </w:p>
        </w:tc>
        <w:tc>
          <w:tcPr>
            <w:tcW w:w="2445" w:type="dxa"/>
            <w:vAlign w:val="center"/>
          </w:tcPr>
          <w:p w14:paraId="3A6FB219">
            <w:pPr>
              <w:pStyle w:val="13"/>
              <w:keepNext w:val="0"/>
              <w:keepLines w:val="0"/>
              <w:pageBreakBefore w:val="0"/>
              <w:widowControl w:val="0"/>
              <w:kinsoku/>
              <w:wordWrap/>
              <w:overflowPunct/>
              <w:topLinePunct w:val="0"/>
              <w:autoSpaceDE w:val="0"/>
              <w:autoSpaceDN w:val="0"/>
              <w:bidi w:val="0"/>
              <w:adjustRightInd/>
              <w:snapToGrid/>
              <w:spacing w:line="240" w:lineRule="auto"/>
              <w:ind w:left="4" w:right="14"/>
              <w:jc w:val="center"/>
              <w:textAlignment w:val="auto"/>
              <w:rPr>
                <w:sz w:val="21"/>
                <w:szCs w:val="21"/>
              </w:rPr>
            </w:pPr>
            <w:r>
              <w:rPr>
                <w:sz w:val="21"/>
                <w:szCs w:val="21"/>
              </w:rPr>
              <w:t>资本充足率</w:t>
            </w:r>
          </w:p>
        </w:tc>
        <w:tc>
          <w:tcPr>
            <w:tcW w:w="4261" w:type="dxa"/>
            <w:vAlign w:val="center"/>
          </w:tcPr>
          <w:p w14:paraId="64C4AB49">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1"/>
                <w:szCs w:val="21"/>
              </w:rPr>
            </w:pPr>
            <w:r>
              <w:rPr>
                <w:w w:val="90"/>
                <w:sz w:val="21"/>
                <w:szCs w:val="21"/>
              </w:rPr>
              <w:t>指标最高的为4分，第二名为3分，第三名为2分，第四名为1分，其余为0分。（见</w:t>
            </w:r>
            <w:r>
              <w:rPr>
                <w:sz w:val="21"/>
                <w:szCs w:val="21"/>
              </w:rPr>
              <w:t>附件5）</w:t>
            </w:r>
          </w:p>
        </w:tc>
      </w:tr>
      <w:tr w14:paraId="2FA88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35" w:type="dxa"/>
            <w:vMerge w:val="continue"/>
            <w:tcBorders>
              <w:top w:val="nil"/>
            </w:tcBorders>
            <w:vAlign w:val="center"/>
          </w:tcPr>
          <w:p w14:paraId="7CA13FA3">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
                <w:szCs w:val="2"/>
              </w:rPr>
            </w:pPr>
          </w:p>
        </w:tc>
        <w:tc>
          <w:tcPr>
            <w:tcW w:w="395" w:type="dxa"/>
            <w:vMerge w:val="continue"/>
            <w:tcBorders>
              <w:top w:val="nil"/>
            </w:tcBorders>
            <w:vAlign w:val="center"/>
          </w:tcPr>
          <w:p w14:paraId="1A4951C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1"/>
                <w:szCs w:val="21"/>
              </w:rPr>
            </w:pPr>
          </w:p>
        </w:tc>
        <w:tc>
          <w:tcPr>
            <w:tcW w:w="1287" w:type="dxa"/>
            <w:vMerge w:val="restart"/>
            <w:vAlign w:val="center"/>
          </w:tcPr>
          <w:p w14:paraId="7877FE05">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1"/>
                <w:szCs w:val="21"/>
              </w:rPr>
            </w:pPr>
            <w:r>
              <w:rPr>
                <w:sz w:val="21"/>
                <w:szCs w:val="21"/>
              </w:rPr>
              <w:t>运营能力</w:t>
            </w:r>
          </w:p>
        </w:tc>
        <w:tc>
          <w:tcPr>
            <w:tcW w:w="450" w:type="dxa"/>
            <w:vAlign w:val="center"/>
          </w:tcPr>
          <w:p w14:paraId="36EFBDA0">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1"/>
                <w:szCs w:val="21"/>
              </w:rPr>
            </w:pPr>
            <w:r>
              <w:rPr>
                <w:w w:val="95"/>
                <w:sz w:val="21"/>
                <w:szCs w:val="21"/>
              </w:rPr>
              <w:t>3</w:t>
            </w:r>
          </w:p>
        </w:tc>
        <w:tc>
          <w:tcPr>
            <w:tcW w:w="2445" w:type="dxa"/>
            <w:vAlign w:val="center"/>
          </w:tcPr>
          <w:p w14:paraId="6CB19799">
            <w:pPr>
              <w:pStyle w:val="13"/>
              <w:keepNext w:val="0"/>
              <w:keepLines w:val="0"/>
              <w:pageBreakBefore w:val="0"/>
              <w:widowControl w:val="0"/>
              <w:kinsoku/>
              <w:wordWrap/>
              <w:overflowPunct/>
              <w:topLinePunct w:val="0"/>
              <w:autoSpaceDE w:val="0"/>
              <w:autoSpaceDN w:val="0"/>
              <w:bidi w:val="0"/>
              <w:adjustRightInd/>
              <w:snapToGrid/>
              <w:spacing w:line="240" w:lineRule="auto"/>
              <w:ind w:right="14"/>
              <w:jc w:val="center"/>
              <w:textAlignment w:val="auto"/>
              <w:rPr>
                <w:sz w:val="21"/>
                <w:szCs w:val="21"/>
              </w:rPr>
            </w:pPr>
            <w:r>
              <w:rPr>
                <w:sz w:val="21"/>
                <w:szCs w:val="21"/>
              </w:rPr>
              <w:t>不良贷款率</w:t>
            </w:r>
          </w:p>
        </w:tc>
        <w:tc>
          <w:tcPr>
            <w:tcW w:w="4261" w:type="dxa"/>
            <w:vAlign w:val="center"/>
          </w:tcPr>
          <w:p w14:paraId="72AFFDB5">
            <w:pPr>
              <w:pStyle w:val="13"/>
              <w:keepNext w:val="0"/>
              <w:keepLines w:val="0"/>
              <w:pageBreakBefore w:val="0"/>
              <w:widowControl w:val="0"/>
              <w:kinsoku/>
              <w:wordWrap/>
              <w:overflowPunct/>
              <w:topLinePunct w:val="0"/>
              <w:autoSpaceDE w:val="0"/>
              <w:autoSpaceDN w:val="0"/>
              <w:bidi w:val="0"/>
              <w:adjustRightInd/>
              <w:snapToGrid/>
              <w:spacing w:line="240" w:lineRule="auto"/>
              <w:ind w:right="157"/>
              <w:jc w:val="center"/>
              <w:textAlignment w:val="auto"/>
              <w:rPr>
                <w:sz w:val="21"/>
                <w:szCs w:val="21"/>
              </w:rPr>
            </w:pPr>
            <w:r>
              <w:rPr>
                <w:w w:val="95"/>
                <w:sz w:val="21"/>
                <w:szCs w:val="21"/>
              </w:rPr>
              <w:t>指标最低的为3分，第二名为2分，第三名为1分，其余为0分。（见附件5）</w:t>
            </w:r>
          </w:p>
        </w:tc>
      </w:tr>
      <w:tr w14:paraId="73EB6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trPr>
        <w:tc>
          <w:tcPr>
            <w:tcW w:w="635" w:type="dxa"/>
            <w:vMerge w:val="continue"/>
            <w:tcBorders>
              <w:top w:val="nil"/>
            </w:tcBorders>
            <w:vAlign w:val="center"/>
          </w:tcPr>
          <w:p w14:paraId="6E03CF7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
                <w:szCs w:val="2"/>
              </w:rPr>
            </w:pPr>
          </w:p>
        </w:tc>
        <w:tc>
          <w:tcPr>
            <w:tcW w:w="395" w:type="dxa"/>
            <w:vMerge w:val="continue"/>
            <w:tcBorders>
              <w:top w:val="nil"/>
            </w:tcBorders>
            <w:vAlign w:val="center"/>
          </w:tcPr>
          <w:p w14:paraId="0E451E1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1"/>
                <w:szCs w:val="21"/>
              </w:rPr>
            </w:pPr>
          </w:p>
        </w:tc>
        <w:tc>
          <w:tcPr>
            <w:tcW w:w="1287" w:type="dxa"/>
            <w:vMerge w:val="continue"/>
            <w:tcBorders>
              <w:top w:val="nil"/>
            </w:tcBorders>
            <w:vAlign w:val="center"/>
          </w:tcPr>
          <w:p w14:paraId="3C475F57">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1"/>
                <w:szCs w:val="21"/>
              </w:rPr>
            </w:pPr>
          </w:p>
        </w:tc>
        <w:tc>
          <w:tcPr>
            <w:tcW w:w="450" w:type="dxa"/>
            <w:vAlign w:val="center"/>
          </w:tcPr>
          <w:p w14:paraId="37D2F27F">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1"/>
                <w:szCs w:val="21"/>
              </w:rPr>
            </w:pPr>
            <w:r>
              <w:rPr>
                <w:w w:val="95"/>
                <w:sz w:val="21"/>
                <w:szCs w:val="21"/>
              </w:rPr>
              <w:t>3</w:t>
            </w:r>
          </w:p>
        </w:tc>
        <w:tc>
          <w:tcPr>
            <w:tcW w:w="2445" w:type="dxa"/>
            <w:vAlign w:val="center"/>
          </w:tcPr>
          <w:p w14:paraId="10608F43">
            <w:pPr>
              <w:pStyle w:val="13"/>
              <w:keepNext w:val="0"/>
              <w:keepLines w:val="0"/>
              <w:pageBreakBefore w:val="0"/>
              <w:widowControl w:val="0"/>
              <w:kinsoku/>
              <w:wordWrap/>
              <w:overflowPunct/>
              <w:topLinePunct w:val="0"/>
              <w:autoSpaceDE w:val="0"/>
              <w:autoSpaceDN w:val="0"/>
              <w:bidi w:val="0"/>
              <w:adjustRightInd/>
              <w:snapToGrid/>
              <w:spacing w:line="240" w:lineRule="auto"/>
              <w:ind w:right="14"/>
              <w:jc w:val="center"/>
              <w:textAlignment w:val="auto"/>
              <w:rPr>
                <w:sz w:val="21"/>
                <w:szCs w:val="21"/>
              </w:rPr>
            </w:pPr>
            <w:r>
              <w:rPr>
                <w:sz w:val="21"/>
                <w:szCs w:val="21"/>
              </w:rPr>
              <w:t>资产利润率</w:t>
            </w:r>
          </w:p>
        </w:tc>
        <w:tc>
          <w:tcPr>
            <w:tcW w:w="4261" w:type="dxa"/>
            <w:vAlign w:val="center"/>
          </w:tcPr>
          <w:p w14:paraId="082217FB">
            <w:pPr>
              <w:pStyle w:val="13"/>
              <w:keepNext w:val="0"/>
              <w:keepLines w:val="0"/>
              <w:pageBreakBefore w:val="0"/>
              <w:widowControl w:val="0"/>
              <w:kinsoku/>
              <w:wordWrap/>
              <w:overflowPunct/>
              <w:topLinePunct w:val="0"/>
              <w:autoSpaceDE w:val="0"/>
              <w:autoSpaceDN w:val="0"/>
              <w:bidi w:val="0"/>
              <w:adjustRightInd/>
              <w:snapToGrid/>
              <w:spacing w:line="240" w:lineRule="auto"/>
              <w:ind w:right="157"/>
              <w:jc w:val="center"/>
              <w:textAlignment w:val="auto"/>
              <w:rPr>
                <w:sz w:val="21"/>
                <w:szCs w:val="21"/>
              </w:rPr>
            </w:pPr>
            <w:r>
              <w:rPr>
                <w:w w:val="95"/>
                <w:sz w:val="21"/>
                <w:szCs w:val="21"/>
              </w:rPr>
              <w:t>指标最高的为3分，第二名为2分，第三名为1分，其余为0分。（见附件5）</w:t>
            </w:r>
          </w:p>
        </w:tc>
      </w:tr>
      <w:tr w14:paraId="5BC2F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trPr>
        <w:tc>
          <w:tcPr>
            <w:tcW w:w="635" w:type="dxa"/>
            <w:vMerge w:val="continue"/>
            <w:tcBorders>
              <w:top w:val="nil"/>
            </w:tcBorders>
            <w:vAlign w:val="center"/>
          </w:tcPr>
          <w:p w14:paraId="0C45D6EA">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
                <w:szCs w:val="2"/>
              </w:rPr>
            </w:pPr>
          </w:p>
        </w:tc>
        <w:tc>
          <w:tcPr>
            <w:tcW w:w="395" w:type="dxa"/>
            <w:vMerge w:val="continue"/>
            <w:tcBorders>
              <w:top w:val="nil"/>
            </w:tcBorders>
            <w:vAlign w:val="center"/>
          </w:tcPr>
          <w:p w14:paraId="2CECC68B">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1"/>
                <w:szCs w:val="21"/>
              </w:rPr>
            </w:pPr>
          </w:p>
        </w:tc>
        <w:tc>
          <w:tcPr>
            <w:tcW w:w="1287" w:type="dxa"/>
            <w:vMerge w:val="continue"/>
            <w:tcBorders>
              <w:top w:val="nil"/>
            </w:tcBorders>
            <w:vAlign w:val="center"/>
          </w:tcPr>
          <w:p w14:paraId="063DCDB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1"/>
                <w:szCs w:val="21"/>
              </w:rPr>
            </w:pPr>
          </w:p>
        </w:tc>
        <w:tc>
          <w:tcPr>
            <w:tcW w:w="450" w:type="dxa"/>
            <w:vAlign w:val="center"/>
          </w:tcPr>
          <w:p w14:paraId="20DBFF5A">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1"/>
                <w:szCs w:val="21"/>
              </w:rPr>
            </w:pPr>
            <w:r>
              <w:rPr>
                <w:w w:val="95"/>
                <w:sz w:val="21"/>
                <w:szCs w:val="21"/>
              </w:rPr>
              <w:t>4</w:t>
            </w:r>
          </w:p>
        </w:tc>
        <w:tc>
          <w:tcPr>
            <w:tcW w:w="2445" w:type="dxa"/>
            <w:vAlign w:val="center"/>
          </w:tcPr>
          <w:p w14:paraId="3AE8DA3E">
            <w:pPr>
              <w:pStyle w:val="13"/>
              <w:keepNext w:val="0"/>
              <w:keepLines w:val="0"/>
              <w:pageBreakBefore w:val="0"/>
              <w:widowControl w:val="0"/>
              <w:kinsoku/>
              <w:wordWrap/>
              <w:overflowPunct/>
              <w:topLinePunct w:val="0"/>
              <w:autoSpaceDE w:val="0"/>
              <w:autoSpaceDN w:val="0"/>
              <w:bidi w:val="0"/>
              <w:adjustRightInd/>
              <w:snapToGrid/>
              <w:spacing w:line="240" w:lineRule="auto"/>
              <w:ind w:right="14"/>
              <w:jc w:val="center"/>
              <w:textAlignment w:val="auto"/>
              <w:rPr>
                <w:sz w:val="21"/>
                <w:szCs w:val="21"/>
              </w:rPr>
            </w:pPr>
            <w:r>
              <w:rPr>
                <w:sz w:val="21"/>
                <w:szCs w:val="21"/>
              </w:rPr>
              <w:t>流动性比率</w:t>
            </w:r>
          </w:p>
        </w:tc>
        <w:tc>
          <w:tcPr>
            <w:tcW w:w="4261" w:type="dxa"/>
            <w:vAlign w:val="center"/>
          </w:tcPr>
          <w:p w14:paraId="2B405FE0">
            <w:pPr>
              <w:pStyle w:val="13"/>
              <w:keepNext w:val="0"/>
              <w:keepLines w:val="0"/>
              <w:pageBreakBefore w:val="0"/>
              <w:widowControl w:val="0"/>
              <w:kinsoku/>
              <w:wordWrap/>
              <w:overflowPunct/>
              <w:topLinePunct w:val="0"/>
              <w:autoSpaceDE w:val="0"/>
              <w:autoSpaceDN w:val="0"/>
              <w:bidi w:val="0"/>
              <w:adjustRightInd/>
              <w:snapToGrid/>
              <w:spacing w:line="240" w:lineRule="auto"/>
              <w:ind w:right="157"/>
              <w:jc w:val="center"/>
              <w:textAlignment w:val="auto"/>
              <w:rPr>
                <w:sz w:val="21"/>
                <w:szCs w:val="21"/>
              </w:rPr>
            </w:pPr>
            <w:r>
              <w:rPr>
                <w:w w:val="95"/>
                <w:sz w:val="21"/>
                <w:szCs w:val="21"/>
              </w:rPr>
              <w:t>指标最高的为4分，第二名为3分，第三名为2分，第四名为1分，其余为0分。（见附件5）</w:t>
            </w:r>
          </w:p>
        </w:tc>
      </w:tr>
      <w:tr w14:paraId="5C66B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0" w:hRule="atLeast"/>
        </w:trPr>
        <w:tc>
          <w:tcPr>
            <w:tcW w:w="635" w:type="dxa"/>
            <w:vMerge w:val="continue"/>
            <w:tcBorders>
              <w:top w:val="nil"/>
            </w:tcBorders>
            <w:vAlign w:val="center"/>
          </w:tcPr>
          <w:p w14:paraId="6048861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
                <w:szCs w:val="2"/>
              </w:rPr>
            </w:pPr>
          </w:p>
        </w:tc>
        <w:tc>
          <w:tcPr>
            <w:tcW w:w="395" w:type="dxa"/>
            <w:vMerge w:val="continue"/>
            <w:tcBorders>
              <w:top w:val="nil"/>
            </w:tcBorders>
            <w:vAlign w:val="center"/>
          </w:tcPr>
          <w:p w14:paraId="749718D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1"/>
                <w:szCs w:val="21"/>
              </w:rPr>
            </w:pPr>
          </w:p>
        </w:tc>
        <w:tc>
          <w:tcPr>
            <w:tcW w:w="1287" w:type="dxa"/>
            <w:vAlign w:val="center"/>
          </w:tcPr>
          <w:p w14:paraId="512862AE">
            <w:pPr>
              <w:pStyle w:val="13"/>
              <w:keepNext w:val="0"/>
              <w:keepLines w:val="0"/>
              <w:pageBreakBefore w:val="0"/>
              <w:widowControl w:val="0"/>
              <w:kinsoku/>
              <w:wordWrap/>
              <w:overflowPunct/>
              <w:topLinePunct w:val="0"/>
              <w:autoSpaceDE w:val="0"/>
              <w:autoSpaceDN w:val="0"/>
              <w:bidi w:val="0"/>
              <w:adjustRightInd/>
              <w:snapToGrid/>
              <w:spacing w:line="240" w:lineRule="auto"/>
              <w:ind w:left="17" w:right="16"/>
              <w:jc w:val="center"/>
              <w:textAlignment w:val="auto"/>
              <w:rPr>
                <w:sz w:val="21"/>
                <w:szCs w:val="21"/>
              </w:rPr>
            </w:pPr>
            <w:r>
              <w:rPr>
                <w:sz w:val="21"/>
                <w:szCs w:val="21"/>
              </w:rPr>
              <w:t>内部控制水平</w:t>
            </w:r>
          </w:p>
        </w:tc>
        <w:tc>
          <w:tcPr>
            <w:tcW w:w="450" w:type="dxa"/>
            <w:vAlign w:val="center"/>
          </w:tcPr>
          <w:p w14:paraId="6F5B9DF9">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1"/>
                <w:szCs w:val="21"/>
              </w:rPr>
            </w:pPr>
            <w:r>
              <w:rPr>
                <w:w w:val="95"/>
                <w:sz w:val="21"/>
                <w:szCs w:val="21"/>
              </w:rPr>
              <w:t>3</w:t>
            </w:r>
          </w:p>
        </w:tc>
        <w:tc>
          <w:tcPr>
            <w:tcW w:w="2445" w:type="dxa"/>
            <w:vAlign w:val="center"/>
          </w:tcPr>
          <w:p w14:paraId="01D68A1C">
            <w:pPr>
              <w:pStyle w:val="13"/>
              <w:keepNext w:val="0"/>
              <w:keepLines w:val="0"/>
              <w:pageBreakBefore w:val="0"/>
              <w:widowControl w:val="0"/>
              <w:kinsoku/>
              <w:wordWrap/>
              <w:overflowPunct/>
              <w:topLinePunct w:val="0"/>
              <w:autoSpaceDE w:val="0"/>
              <w:autoSpaceDN w:val="0"/>
              <w:bidi w:val="0"/>
              <w:adjustRightInd/>
              <w:snapToGrid/>
              <w:spacing w:line="240" w:lineRule="auto"/>
              <w:ind w:left="61" w:right="105" w:hanging="3"/>
              <w:jc w:val="center"/>
              <w:textAlignment w:val="auto"/>
              <w:rPr>
                <w:sz w:val="21"/>
                <w:szCs w:val="21"/>
              </w:rPr>
            </w:pPr>
            <w:r>
              <w:rPr>
                <w:rFonts w:hint="eastAsia"/>
                <w:w w:val="90"/>
                <w:sz w:val="21"/>
                <w:szCs w:val="21"/>
                <w:lang w:val="en-US"/>
              </w:rPr>
              <w:t>202</w:t>
            </w:r>
            <w:r>
              <w:rPr>
                <w:rFonts w:hint="eastAsia"/>
                <w:w w:val="90"/>
                <w:sz w:val="21"/>
                <w:szCs w:val="21"/>
                <w:lang w:val="en-US" w:eastAsia="zh-CN"/>
              </w:rPr>
              <w:t>5</w:t>
            </w:r>
            <w:r>
              <w:rPr>
                <w:w w:val="90"/>
                <w:sz w:val="21"/>
                <w:szCs w:val="21"/>
              </w:rPr>
              <w:t>年度注册会计师发表内控审计报告的审计意见</w:t>
            </w:r>
          </w:p>
        </w:tc>
        <w:tc>
          <w:tcPr>
            <w:tcW w:w="4261" w:type="dxa"/>
            <w:vAlign w:val="center"/>
          </w:tcPr>
          <w:p w14:paraId="4497D57C">
            <w:pPr>
              <w:pStyle w:val="13"/>
              <w:keepNext w:val="0"/>
              <w:keepLines w:val="0"/>
              <w:pageBreakBefore w:val="0"/>
              <w:widowControl w:val="0"/>
              <w:kinsoku/>
              <w:wordWrap/>
              <w:overflowPunct/>
              <w:topLinePunct w:val="0"/>
              <w:autoSpaceDE w:val="0"/>
              <w:autoSpaceDN w:val="0"/>
              <w:bidi w:val="0"/>
              <w:adjustRightInd/>
              <w:snapToGrid/>
              <w:spacing w:line="240" w:lineRule="auto"/>
              <w:ind w:right="269"/>
              <w:jc w:val="center"/>
              <w:textAlignment w:val="auto"/>
              <w:rPr>
                <w:sz w:val="21"/>
                <w:szCs w:val="21"/>
              </w:rPr>
            </w:pPr>
            <w:r>
              <w:rPr>
                <w:w w:val="95"/>
                <w:sz w:val="21"/>
                <w:szCs w:val="21"/>
              </w:rPr>
              <w:t>意见类型：1、无保留意见（3分）</w:t>
            </w:r>
            <w:r>
              <w:rPr>
                <w:rFonts w:hint="eastAsia"/>
                <w:w w:val="95"/>
                <w:sz w:val="21"/>
                <w:szCs w:val="21"/>
              </w:rPr>
              <w:t>；</w:t>
            </w:r>
            <w:r>
              <w:rPr>
                <w:w w:val="95"/>
                <w:sz w:val="21"/>
                <w:szCs w:val="21"/>
              </w:rPr>
              <w:t>2、非财务报告内部控制重大缺陷的报告</w:t>
            </w:r>
            <w:r>
              <w:rPr>
                <w:spacing w:val="3"/>
                <w:w w:val="90"/>
                <w:sz w:val="21"/>
                <w:szCs w:val="21"/>
              </w:rPr>
              <w:t>（2</w:t>
            </w:r>
            <w:r>
              <w:rPr>
                <w:spacing w:val="4"/>
                <w:w w:val="90"/>
                <w:sz w:val="21"/>
                <w:szCs w:val="21"/>
              </w:rPr>
              <w:t>分）；3、带强调段的无保留意见报告</w:t>
            </w:r>
            <w:r>
              <w:rPr>
                <w:spacing w:val="3"/>
                <w:w w:val="90"/>
                <w:sz w:val="21"/>
                <w:szCs w:val="21"/>
              </w:rPr>
              <w:t>（1</w:t>
            </w:r>
            <w:r>
              <w:rPr>
                <w:spacing w:val="4"/>
                <w:w w:val="90"/>
                <w:sz w:val="21"/>
                <w:szCs w:val="21"/>
              </w:rPr>
              <w:t>分）；4</w:t>
            </w:r>
            <w:r>
              <w:rPr>
                <w:spacing w:val="3"/>
                <w:w w:val="90"/>
                <w:sz w:val="21"/>
                <w:szCs w:val="21"/>
              </w:rPr>
              <w:t>、否定和无法表示意见报告</w:t>
            </w:r>
            <w:r>
              <w:rPr>
                <w:sz w:val="21"/>
                <w:szCs w:val="21"/>
              </w:rPr>
              <w:t>（0分）</w:t>
            </w:r>
            <w:r>
              <w:rPr>
                <w:rFonts w:hint="eastAsia"/>
                <w:sz w:val="21"/>
                <w:szCs w:val="21"/>
              </w:rPr>
              <w:t>。</w:t>
            </w:r>
            <w:r>
              <w:rPr>
                <w:sz w:val="21"/>
                <w:szCs w:val="21"/>
              </w:rPr>
              <w:t>（见附件5）</w:t>
            </w:r>
          </w:p>
        </w:tc>
      </w:tr>
      <w:tr w14:paraId="68934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4" w:hRule="atLeast"/>
        </w:trPr>
        <w:tc>
          <w:tcPr>
            <w:tcW w:w="635" w:type="dxa"/>
            <w:vMerge w:val="continue"/>
            <w:tcBorders>
              <w:top w:val="nil"/>
            </w:tcBorders>
            <w:vAlign w:val="center"/>
          </w:tcPr>
          <w:p w14:paraId="7097103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
                <w:szCs w:val="2"/>
              </w:rPr>
            </w:pPr>
          </w:p>
        </w:tc>
        <w:tc>
          <w:tcPr>
            <w:tcW w:w="395" w:type="dxa"/>
            <w:vMerge w:val="continue"/>
            <w:tcBorders>
              <w:top w:val="nil"/>
            </w:tcBorders>
            <w:vAlign w:val="center"/>
          </w:tcPr>
          <w:p w14:paraId="2F0CFB1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1"/>
                <w:szCs w:val="21"/>
              </w:rPr>
            </w:pPr>
          </w:p>
        </w:tc>
        <w:tc>
          <w:tcPr>
            <w:tcW w:w="1287" w:type="dxa"/>
            <w:vAlign w:val="center"/>
          </w:tcPr>
          <w:p w14:paraId="7D204A28">
            <w:pPr>
              <w:pStyle w:val="13"/>
              <w:keepNext w:val="0"/>
              <w:keepLines w:val="0"/>
              <w:pageBreakBefore w:val="0"/>
              <w:widowControl w:val="0"/>
              <w:kinsoku/>
              <w:wordWrap/>
              <w:overflowPunct/>
              <w:topLinePunct w:val="0"/>
              <w:autoSpaceDE w:val="0"/>
              <w:autoSpaceDN w:val="0"/>
              <w:bidi w:val="0"/>
              <w:adjustRightInd/>
              <w:snapToGrid/>
              <w:spacing w:line="240" w:lineRule="auto"/>
              <w:ind w:left="46" w:right="16"/>
              <w:jc w:val="center"/>
              <w:textAlignment w:val="auto"/>
              <w:rPr>
                <w:b/>
                <w:sz w:val="21"/>
                <w:szCs w:val="21"/>
              </w:rPr>
            </w:pPr>
            <w:r>
              <w:rPr>
                <w:b/>
                <w:sz w:val="21"/>
                <w:szCs w:val="21"/>
              </w:rPr>
              <w:t>分项小计</w:t>
            </w:r>
          </w:p>
        </w:tc>
        <w:tc>
          <w:tcPr>
            <w:tcW w:w="450" w:type="dxa"/>
            <w:vAlign w:val="center"/>
          </w:tcPr>
          <w:p w14:paraId="60CEC49E">
            <w:pPr>
              <w:pStyle w:val="13"/>
              <w:keepNext w:val="0"/>
              <w:keepLines w:val="0"/>
              <w:pageBreakBefore w:val="0"/>
              <w:widowControl w:val="0"/>
              <w:kinsoku/>
              <w:wordWrap/>
              <w:overflowPunct/>
              <w:topLinePunct w:val="0"/>
              <w:autoSpaceDE w:val="0"/>
              <w:autoSpaceDN w:val="0"/>
              <w:bidi w:val="0"/>
              <w:adjustRightInd/>
              <w:snapToGrid/>
              <w:spacing w:line="240" w:lineRule="auto"/>
              <w:ind w:left="94"/>
              <w:jc w:val="center"/>
              <w:textAlignment w:val="auto"/>
              <w:rPr>
                <w:b/>
                <w:sz w:val="21"/>
                <w:szCs w:val="21"/>
              </w:rPr>
            </w:pPr>
            <w:r>
              <w:rPr>
                <w:b/>
                <w:sz w:val="21"/>
                <w:szCs w:val="21"/>
              </w:rPr>
              <w:t>20</w:t>
            </w:r>
          </w:p>
        </w:tc>
        <w:tc>
          <w:tcPr>
            <w:tcW w:w="6706" w:type="dxa"/>
            <w:gridSpan w:val="2"/>
            <w:vAlign w:val="center"/>
          </w:tcPr>
          <w:p w14:paraId="7C8B28AA">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imes New Roman"/>
                <w:sz w:val="14"/>
              </w:rPr>
            </w:pPr>
          </w:p>
        </w:tc>
      </w:tr>
      <w:tr w14:paraId="0853E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trPr>
        <w:tc>
          <w:tcPr>
            <w:tcW w:w="635" w:type="dxa"/>
            <w:vMerge w:val="restart"/>
            <w:tcBorders>
              <w:bottom w:val="single" w:color="000000" w:sz="6" w:space="0"/>
            </w:tcBorders>
            <w:vAlign w:val="center"/>
          </w:tcPr>
          <w:p w14:paraId="427FAD64">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50626FC6">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2F8E0CE3">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0C25BA5A">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108F0D8F">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71087692">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609E023A">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51463013">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017B9B90">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55E5CBCC">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767E2012">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50786585">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6BCB2481">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2A822D28">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0238751D">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5179B497">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4382A36A">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7DCDDA3F">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0798D2D6">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25E64C40">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155E58D6">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0"/>
              </w:rPr>
            </w:pPr>
          </w:p>
          <w:p w14:paraId="6217F616">
            <w:pPr>
              <w:pStyle w:val="13"/>
              <w:keepNext w:val="0"/>
              <w:keepLines w:val="0"/>
              <w:pageBreakBefore w:val="0"/>
              <w:widowControl w:val="0"/>
              <w:kinsoku/>
              <w:wordWrap/>
              <w:overflowPunct/>
              <w:topLinePunct w:val="0"/>
              <w:autoSpaceDE w:val="0"/>
              <w:autoSpaceDN w:val="0"/>
              <w:bidi w:val="0"/>
              <w:adjustRightInd/>
              <w:snapToGrid/>
              <w:spacing w:line="240" w:lineRule="auto"/>
              <w:ind w:left="62" w:right="75"/>
              <w:jc w:val="center"/>
              <w:textAlignment w:val="auto"/>
              <w:rPr>
                <w:b/>
                <w:sz w:val="15"/>
              </w:rPr>
            </w:pPr>
            <w:r>
              <w:rPr>
                <w:b/>
                <w:sz w:val="21"/>
                <w:szCs w:val="21"/>
              </w:rPr>
              <w:t>服务水平</w:t>
            </w:r>
          </w:p>
        </w:tc>
        <w:tc>
          <w:tcPr>
            <w:tcW w:w="395" w:type="dxa"/>
            <w:vMerge w:val="restart"/>
            <w:tcBorders>
              <w:bottom w:val="single" w:color="000000" w:sz="6" w:space="0"/>
            </w:tcBorders>
            <w:vAlign w:val="center"/>
          </w:tcPr>
          <w:p w14:paraId="505ED5E3">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7ABD9F56">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51A81091">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39C03CA9">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634C5697">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162999C6">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0674C449">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56B18D52">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23131E98">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2961E6A8">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450D587E">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6F4A968F">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18C443B6">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3CF5B468">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4E1D813B">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4E8097F7">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4"/>
              </w:rPr>
            </w:pPr>
          </w:p>
          <w:p w14:paraId="2B161660">
            <w:pPr>
              <w:pStyle w:val="13"/>
              <w:keepNext w:val="0"/>
              <w:keepLines w:val="0"/>
              <w:pageBreakBefore w:val="0"/>
              <w:widowControl w:val="0"/>
              <w:kinsoku/>
              <w:wordWrap/>
              <w:overflowPunct/>
              <w:topLinePunct w:val="0"/>
              <w:autoSpaceDE w:val="0"/>
              <w:autoSpaceDN w:val="0"/>
              <w:bidi w:val="0"/>
              <w:adjustRightInd/>
              <w:snapToGrid/>
              <w:spacing w:line="240" w:lineRule="auto"/>
              <w:ind w:left="12"/>
              <w:jc w:val="center"/>
              <w:textAlignment w:val="auto"/>
              <w:rPr>
                <w:sz w:val="15"/>
              </w:rPr>
            </w:pPr>
            <w:r>
              <w:rPr>
                <w:w w:val="95"/>
                <w:sz w:val="21"/>
                <w:szCs w:val="21"/>
              </w:rPr>
              <w:t>B</w:t>
            </w:r>
          </w:p>
        </w:tc>
        <w:tc>
          <w:tcPr>
            <w:tcW w:w="1287" w:type="dxa"/>
            <w:tcBorders>
              <w:bottom w:val="single" w:color="000000" w:sz="6" w:space="0"/>
            </w:tcBorders>
            <w:vAlign w:val="center"/>
          </w:tcPr>
          <w:p w14:paraId="62070320">
            <w:pPr>
              <w:pStyle w:val="13"/>
              <w:keepNext w:val="0"/>
              <w:keepLines w:val="0"/>
              <w:pageBreakBefore w:val="0"/>
              <w:widowControl w:val="0"/>
              <w:kinsoku/>
              <w:wordWrap/>
              <w:overflowPunct/>
              <w:topLinePunct w:val="0"/>
              <w:autoSpaceDE w:val="0"/>
              <w:autoSpaceDN w:val="0"/>
              <w:bidi w:val="0"/>
              <w:adjustRightInd/>
              <w:snapToGrid/>
              <w:spacing w:line="240" w:lineRule="auto"/>
              <w:ind w:right="16"/>
              <w:jc w:val="center"/>
              <w:textAlignment w:val="auto"/>
              <w:rPr>
                <w:sz w:val="21"/>
                <w:szCs w:val="21"/>
              </w:rPr>
            </w:pPr>
            <w:r>
              <w:rPr>
                <w:sz w:val="21"/>
                <w:szCs w:val="21"/>
              </w:rPr>
              <w:t>服务团队</w:t>
            </w:r>
          </w:p>
        </w:tc>
        <w:tc>
          <w:tcPr>
            <w:tcW w:w="450" w:type="dxa"/>
            <w:tcBorders>
              <w:bottom w:val="single" w:color="000000" w:sz="6" w:space="0"/>
            </w:tcBorders>
            <w:vAlign w:val="center"/>
          </w:tcPr>
          <w:p w14:paraId="13AB1786">
            <w:pPr>
              <w:pStyle w:val="13"/>
              <w:keepNext w:val="0"/>
              <w:keepLines w:val="0"/>
              <w:pageBreakBefore w:val="0"/>
              <w:widowControl w:val="0"/>
              <w:kinsoku/>
              <w:wordWrap/>
              <w:overflowPunct/>
              <w:topLinePunct w:val="0"/>
              <w:autoSpaceDE w:val="0"/>
              <w:autoSpaceDN w:val="0"/>
              <w:bidi w:val="0"/>
              <w:adjustRightInd/>
              <w:snapToGrid/>
              <w:spacing w:line="240" w:lineRule="auto"/>
              <w:ind w:left="139"/>
              <w:jc w:val="center"/>
              <w:textAlignment w:val="auto"/>
              <w:rPr>
                <w:sz w:val="21"/>
                <w:szCs w:val="21"/>
              </w:rPr>
            </w:pPr>
            <w:r>
              <w:rPr>
                <w:w w:val="95"/>
                <w:sz w:val="21"/>
                <w:szCs w:val="21"/>
              </w:rPr>
              <w:t>4</w:t>
            </w:r>
          </w:p>
        </w:tc>
        <w:tc>
          <w:tcPr>
            <w:tcW w:w="2445" w:type="dxa"/>
            <w:tcBorders>
              <w:bottom w:val="single" w:color="000000" w:sz="6" w:space="0"/>
            </w:tcBorders>
            <w:vAlign w:val="center"/>
          </w:tcPr>
          <w:p w14:paraId="5582CFD8">
            <w:pPr>
              <w:pStyle w:val="13"/>
              <w:keepNext w:val="0"/>
              <w:keepLines w:val="0"/>
              <w:pageBreakBefore w:val="0"/>
              <w:widowControl w:val="0"/>
              <w:kinsoku/>
              <w:wordWrap/>
              <w:overflowPunct/>
              <w:topLinePunct w:val="0"/>
              <w:autoSpaceDE w:val="0"/>
              <w:autoSpaceDN w:val="0"/>
              <w:bidi w:val="0"/>
              <w:adjustRightInd/>
              <w:snapToGrid/>
              <w:spacing w:line="240" w:lineRule="auto"/>
              <w:ind w:right="16"/>
              <w:jc w:val="center"/>
              <w:textAlignment w:val="auto"/>
              <w:rPr>
                <w:sz w:val="21"/>
                <w:szCs w:val="21"/>
              </w:rPr>
            </w:pPr>
            <w:r>
              <w:rPr>
                <w:spacing w:val="-8"/>
                <w:sz w:val="21"/>
                <w:szCs w:val="21"/>
              </w:rPr>
              <w:t>服务团队配置、服务质量</w:t>
            </w:r>
            <w:r>
              <w:rPr>
                <w:spacing w:val="-4"/>
                <w:w w:val="90"/>
                <w:sz w:val="21"/>
                <w:szCs w:val="21"/>
              </w:rPr>
              <w:t>包括团队人员数量、团队负</w:t>
            </w:r>
            <w:r>
              <w:rPr>
                <w:spacing w:val="1"/>
                <w:w w:val="90"/>
                <w:sz w:val="21"/>
                <w:szCs w:val="21"/>
              </w:rPr>
              <w:t>责人职级、从业经验等。</w:t>
            </w:r>
          </w:p>
        </w:tc>
        <w:tc>
          <w:tcPr>
            <w:tcW w:w="4261" w:type="dxa"/>
            <w:tcBorders>
              <w:bottom w:val="single" w:color="000000" w:sz="6" w:space="0"/>
            </w:tcBorders>
            <w:vAlign w:val="center"/>
          </w:tcPr>
          <w:p w14:paraId="59F79C45">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1"/>
                <w:szCs w:val="21"/>
              </w:rPr>
            </w:pPr>
            <w:r>
              <w:rPr>
                <w:sz w:val="21"/>
                <w:szCs w:val="21"/>
              </w:rPr>
              <w:t>最优为4分，较好为3分，一般为2分，较差为1分。（见服务方案）</w:t>
            </w:r>
          </w:p>
        </w:tc>
      </w:tr>
      <w:tr w14:paraId="7C228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8" w:hRule="atLeast"/>
        </w:trPr>
        <w:tc>
          <w:tcPr>
            <w:tcW w:w="635" w:type="dxa"/>
            <w:vMerge w:val="continue"/>
            <w:tcBorders>
              <w:top w:val="single" w:color="000000" w:sz="6" w:space="0"/>
              <w:bottom w:val="single" w:color="000000" w:sz="6" w:space="0"/>
            </w:tcBorders>
            <w:vAlign w:val="center"/>
          </w:tcPr>
          <w:p w14:paraId="57AEA227">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
                <w:szCs w:val="2"/>
              </w:rPr>
            </w:pPr>
          </w:p>
        </w:tc>
        <w:tc>
          <w:tcPr>
            <w:tcW w:w="395" w:type="dxa"/>
            <w:vMerge w:val="continue"/>
            <w:tcBorders>
              <w:top w:val="single" w:color="000000" w:sz="6" w:space="0"/>
              <w:bottom w:val="single" w:color="000000" w:sz="6" w:space="0"/>
            </w:tcBorders>
            <w:vAlign w:val="center"/>
          </w:tcPr>
          <w:p w14:paraId="70BECB8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
                <w:szCs w:val="2"/>
              </w:rPr>
            </w:pPr>
          </w:p>
        </w:tc>
        <w:tc>
          <w:tcPr>
            <w:tcW w:w="1287" w:type="dxa"/>
            <w:tcBorders>
              <w:top w:val="single" w:color="000000" w:sz="6" w:space="0"/>
              <w:bottom w:val="single" w:color="000000" w:sz="6" w:space="0"/>
            </w:tcBorders>
            <w:vAlign w:val="center"/>
          </w:tcPr>
          <w:p w14:paraId="6EE4E136">
            <w:pPr>
              <w:pStyle w:val="13"/>
              <w:keepNext w:val="0"/>
              <w:keepLines w:val="0"/>
              <w:pageBreakBefore w:val="0"/>
              <w:widowControl w:val="0"/>
              <w:kinsoku/>
              <w:wordWrap/>
              <w:overflowPunct/>
              <w:topLinePunct w:val="0"/>
              <w:autoSpaceDE w:val="0"/>
              <w:autoSpaceDN w:val="0"/>
              <w:bidi w:val="0"/>
              <w:adjustRightInd/>
              <w:snapToGrid/>
              <w:spacing w:line="240" w:lineRule="auto"/>
              <w:ind w:right="56"/>
              <w:jc w:val="center"/>
              <w:textAlignment w:val="auto"/>
              <w:rPr>
                <w:sz w:val="21"/>
                <w:szCs w:val="21"/>
              </w:rPr>
            </w:pPr>
            <w:r>
              <w:rPr>
                <w:w w:val="90"/>
                <w:sz w:val="21"/>
                <w:szCs w:val="21"/>
              </w:rPr>
              <w:t>上门服务及对账</w:t>
            </w:r>
            <w:r>
              <w:rPr>
                <w:sz w:val="21"/>
                <w:szCs w:val="21"/>
              </w:rPr>
              <w:t>服务</w:t>
            </w:r>
          </w:p>
        </w:tc>
        <w:tc>
          <w:tcPr>
            <w:tcW w:w="450" w:type="dxa"/>
            <w:tcBorders>
              <w:top w:val="single" w:color="000000" w:sz="6" w:space="0"/>
              <w:bottom w:val="single" w:color="000000" w:sz="6" w:space="0"/>
            </w:tcBorders>
            <w:vAlign w:val="center"/>
          </w:tcPr>
          <w:p w14:paraId="05F3B453">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1"/>
                <w:szCs w:val="21"/>
              </w:rPr>
            </w:pPr>
            <w:r>
              <w:rPr>
                <w:w w:val="95"/>
                <w:sz w:val="21"/>
                <w:szCs w:val="21"/>
              </w:rPr>
              <w:t>4</w:t>
            </w:r>
          </w:p>
        </w:tc>
        <w:tc>
          <w:tcPr>
            <w:tcW w:w="2445" w:type="dxa"/>
            <w:tcBorders>
              <w:top w:val="single" w:color="000000" w:sz="6" w:space="0"/>
              <w:bottom w:val="single" w:color="000000" w:sz="6" w:space="0"/>
            </w:tcBorders>
            <w:vAlign w:val="center"/>
          </w:tcPr>
          <w:p w14:paraId="4548F353">
            <w:pPr>
              <w:pStyle w:val="13"/>
              <w:keepNext w:val="0"/>
              <w:keepLines w:val="0"/>
              <w:pageBreakBefore w:val="0"/>
              <w:widowControl w:val="0"/>
              <w:kinsoku/>
              <w:wordWrap/>
              <w:overflowPunct/>
              <w:topLinePunct w:val="0"/>
              <w:autoSpaceDE w:val="0"/>
              <w:autoSpaceDN w:val="0"/>
              <w:bidi w:val="0"/>
              <w:adjustRightInd/>
              <w:snapToGrid/>
              <w:spacing w:line="240" w:lineRule="auto"/>
              <w:ind w:right="14"/>
              <w:jc w:val="center"/>
              <w:textAlignment w:val="auto"/>
              <w:rPr>
                <w:sz w:val="21"/>
                <w:szCs w:val="21"/>
              </w:rPr>
            </w:pPr>
            <w:r>
              <w:rPr>
                <w:w w:val="90"/>
                <w:sz w:val="21"/>
                <w:szCs w:val="21"/>
              </w:rPr>
              <w:t>上门服务的种类、响应时间、频率；纸质对账单送达的及时性，对账便</w:t>
            </w:r>
            <w:r>
              <w:rPr>
                <w:sz w:val="21"/>
                <w:szCs w:val="21"/>
              </w:rPr>
              <w:t>捷性等。</w:t>
            </w:r>
          </w:p>
        </w:tc>
        <w:tc>
          <w:tcPr>
            <w:tcW w:w="4261" w:type="dxa"/>
            <w:tcBorders>
              <w:top w:val="single" w:color="000000" w:sz="6" w:space="0"/>
              <w:bottom w:val="single" w:color="000000" w:sz="6" w:space="0"/>
            </w:tcBorders>
            <w:vAlign w:val="center"/>
          </w:tcPr>
          <w:p w14:paraId="24A4992C">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1"/>
                <w:szCs w:val="21"/>
              </w:rPr>
            </w:pPr>
            <w:r>
              <w:rPr>
                <w:sz w:val="21"/>
                <w:szCs w:val="21"/>
              </w:rPr>
              <w:t>最优为4分，较好为3分，一般为2分，较差为1分。（见服务方案）</w:t>
            </w:r>
          </w:p>
        </w:tc>
      </w:tr>
      <w:tr w14:paraId="0AC3C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0" w:hRule="atLeast"/>
        </w:trPr>
        <w:tc>
          <w:tcPr>
            <w:tcW w:w="635" w:type="dxa"/>
            <w:vMerge w:val="continue"/>
            <w:tcBorders>
              <w:top w:val="single" w:color="000000" w:sz="6" w:space="0"/>
              <w:bottom w:val="single" w:color="000000" w:sz="6" w:space="0"/>
            </w:tcBorders>
            <w:vAlign w:val="center"/>
          </w:tcPr>
          <w:p w14:paraId="26D7537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
                <w:szCs w:val="2"/>
              </w:rPr>
            </w:pPr>
          </w:p>
        </w:tc>
        <w:tc>
          <w:tcPr>
            <w:tcW w:w="395" w:type="dxa"/>
            <w:vMerge w:val="continue"/>
            <w:tcBorders>
              <w:top w:val="single" w:color="000000" w:sz="6" w:space="0"/>
              <w:bottom w:val="single" w:color="000000" w:sz="6" w:space="0"/>
            </w:tcBorders>
            <w:vAlign w:val="center"/>
          </w:tcPr>
          <w:p w14:paraId="0CCC4243">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
                <w:szCs w:val="2"/>
              </w:rPr>
            </w:pPr>
          </w:p>
        </w:tc>
        <w:tc>
          <w:tcPr>
            <w:tcW w:w="1287" w:type="dxa"/>
            <w:tcBorders>
              <w:top w:val="single" w:color="000000" w:sz="6" w:space="0"/>
              <w:bottom w:val="single" w:color="000000" w:sz="6" w:space="0"/>
            </w:tcBorders>
            <w:vAlign w:val="center"/>
          </w:tcPr>
          <w:p w14:paraId="0F9AD6E3">
            <w:pPr>
              <w:pStyle w:val="13"/>
              <w:keepNext w:val="0"/>
              <w:keepLines w:val="0"/>
              <w:pageBreakBefore w:val="0"/>
              <w:widowControl w:val="0"/>
              <w:kinsoku/>
              <w:wordWrap/>
              <w:overflowPunct/>
              <w:topLinePunct w:val="0"/>
              <w:autoSpaceDE w:val="0"/>
              <w:autoSpaceDN w:val="0"/>
              <w:bidi w:val="0"/>
              <w:adjustRightInd/>
              <w:snapToGrid/>
              <w:spacing w:line="240" w:lineRule="auto"/>
              <w:ind w:right="16"/>
              <w:jc w:val="center"/>
              <w:textAlignment w:val="auto"/>
              <w:rPr>
                <w:sz w:val="21"/>
                <w:szCs w:val="21"/>
              </w:rPr>
            </w:pPr>
            <w:r>
              <w:rPr>
                <w:sz w:val="21"/>
                <w:szCs w:val="21"/>
              </w:rPr>
              <w:t>信息化水平</w:t>
            </w:r>
          </w:p>
        </w:tc>
        <w:tc>
          <w:tcPr>
            <w:tcW w:w="450" w:type="dxa"/>
            <w:tcBorders>
              <w:top w:val="single" w:color="000000" w:sz="6" w:space="0"/>
              <w:bottom w:val="single" w:color="000000" w:sz="6" w:space="0"/>
            </w:tcBorders>
            <w:vAlign w:val="center"/>
          </w:tcPr>
          <w:p w14:paraId="7E327FB1">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1"/>
                <w:szCs w:val="21"/>
              </w:rPr>
            </w:pPr>
            <w:r>
              <w:rPr>
                <w:w w:val="95"/>
                <w:sz w:val="21"/>
                <w:szCs w:val="21"/>
              </w:rPr>
              <w:t>4</w:t>
            </w:r>
          </w:p>
        </w:tc>
        <w:tc>
          <w:tcPr>
            <w:tcW w:w="2445" w:type="dxa"/>
            <w:tcBorders>
              <w:top w:val="single" w:color="000000" w:sz="6" w:space="0"/>
              <w:bottom w:val="single" w:color="000000" w:sz="6" w:space="0"/>
            </w:tcBorders>
            <w:vAlign w:val="center"/>
          </w:tcPr>
          <w:p w14:paraId="6792B4B4">
            <w:pPr>
              <w:pStyle w:val="13"/>
              <w:keepNext w:val="0"/>
              <w:keepLines w:val="0"/>
              <w:pageBreakBefore w:val="0"/>
              <w:widowControl w:val="0"/>
              <w:kinsoku/>
              <w:wordWrap/>
              <w:overflowPunct/>
              <w:topLinePunct w:val="0"/>
              <w:autoSpaceDE w:val="0"/>
              <w:autoSpaceDN w:val="0"/>
              <w:bidi w:val="0"/>
              <w:adjustRightInd/>
              <w:snapToGrid/>
              <w:spacing w:line="240" w:lineRule="auto"/>
              <w:ind w:right="14"/>
              <w:jc w:val="center"/>
              <w:textAlignment w:val="auto"/>
              <w:rPr>
                <w:sz w:val="21"/>
                <w:szCs w:val="21"/>
              </w:rPr>
            </w:pPr>
            <w:r>
              <w:rPr>
                <w:w w:val="90"/>
                <w:sz w:val="21"/>
                <w:szCs w:val="21"/>
              </w:rPr>
              <w:t>信息技术服务的便捷性、安</w:t>
            </w:r>
            <w:r>
              <w:rPr>
                <w:sz w:val="21"/>
                <w:szCs w:val="21"/>
              </w:rPr>
              <w:t>全性等。</w:t>
            </w:r>
          </w:p>
        </w:tc>
        <w:tc>
          <w:tcPr>
            <w:tcW w:w="4261" w:type="dxa"/>
            <w:tcBorders>
              <w:top w:val="single" w:color="000000" w:sz="6" w:space="0"/>
              <w:bottom w:val="single" w:color="000000" w:sz="6" w:space="0"/>
            </w:tcBorders>
            <w:vAlign w:val="center"/>
          </w:tcPr>
          <w:p w14:paraId="0875BA18">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1"/>
                <w:szCs w:val="21"/>
              </w:rPr>
            </w:pPr>
            <w:r>
              <w:rPr>
                <w:sz w:val="21"/>
                <w:szCs w:val="21"/>
              </w:rPr>
              <w:t>最优为4分，较好为3分，一般为2分，较差为1分。（见服务方案）</w:t>
            </w:r>
          </w:p>
        </w:tc>
      </w:tr>
      <w:tr w14:paraId="559D0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54" w:hRule="atLeast"/>
        </w:trPr>
        <w:tc>
          <w:tcPr>
            <w:tcW w:w="635" w:type="dxa"/>
            <w:vMerge w:val="continue"/>
            <w:tcBorders>
              <w:top w:val="single" w:color="000000" w:sz="6" w:space="0"/>
              <w:bottom w:val="single" w:color="000000" w:sz="6" w:space="0"/>
            </w:tcBorders>
            <w:vAlign w:val="center"/>
          </w:tcPr>
          <w:p w14:paraId="518DD22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
                <w:szCs w:val="2"/>
              </w:rPr>
            </w:pPr>
          </w:p>
        </w:tc>
        <w:tc>
          <w:tcPr>
            <w:tcW w:w="395" w:type="dxa"/>
            <w:vMerge w:val="continue"/>
            <w:tcBorders>
              <w:top w:val="single" w:color="000000" w:sz="6" w:space="0"/>
              <w:bottom w:val="single" w:color="000000" w:sz="6" w:space="0"/>
            </w:tcBorders>
            <w:vAlign w:val="center"/>
          </w:tcPr>
          <w:p w14:paraId="63413459">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
                <w:szCs w:val="2"/>
              </w:rPr>
            </w:pPr>
          </w:p>
        </w:tc>
        <w:tc>
          <w:tcPr>
            <w:tcW w:w="1287" w:type="dxa"/>
            <w:tcBorders>
              <w:top w:val="single" w:color="000000" w:sz="6" w:space="0"/>
              <w:bottom w:val="single" w:color="000000" w:sz="6" w:space="0"/>
            </w:tcBorders>
            <w:vAlign w:val="center"/>
          </w:tcPr>
          <w:p w14:paraId="0C2BFD44">
            <w:pPr>
              <w:pStyle w:val="13"/>
              <w:keepNext w:val="0"/>
              <w:keepLines w:val="0"/>
              <w:pageBreakBefore w:val="0"/>
              <w:widowControl w:val="0"/>
              <w:kinsoku/>
              <w:wordWrap/>
              <w:overflowPunct/>
              <w:topLinePunct w:val="0"/>
              <w:autoSpaceDE w:val="0"/>
              <w:autoSpaceDN w:val="0"/>
              <w:bidi w:val="0"/>
              <w:adjustRightInd/>
              <w:snapToGrid/>
              <w:spacing w:line="240" w:lineRule="auto"/>
              <w:ind w:right="16"/>
              <w:jc w:val="center"/>
              <w:textAlignment w:val="auto"/>
              <w:rPr>
                <w:sz w:val="21"/>
                <w:szCs w:val="21"/>
              </w:rPr>
            </w:pPr>
            <w:r>
              <w:rPr>
                <w:sz w:val="21"/>
                <w:szCs w:val="21"/>
              </w:rPr>
              <w:t>费用减免</w:t>
            </w:r>
          </w:p>
        </w:tc>
        <w:tc>
          <w:tcPr>
            <w:tcW w:w="450" w:type="dxa"/>
            <w:tcBorders>
              <w:top w:val="single" w:color="000000" w:sz="6" w:space="0"/>
              <w:bottom w:val="single" w:color="000000" w:sz="6" w:space="0"/>
            </w:tcBorders>
            <w:vAlign w:val="center"/>
          </w:tcPr>
          <w:p w14:paraId="6DCF61AA">
            <w:pPr>
              <w:pStyle w:val="13"/>
              <w:keepNext w:val="0"/>
              <w:keepLines w:val="0"/>
              <w:pageBreakBefore w:val="0"/>
              <w:widowControl w:val="0"/>
              <w:kinsoku/>
              <w:wordWrap/>
              <w:overflowPunct/>
              <w:topLinePunct w:val="0"/>
              <w:autoSpaceDE w:val="0"/>
              <w:autoSpaceDN w:val="0"/>
              <w:bidi w:val="0"/>
              <w:adjustRightInd/>
              <w:snapToGrid/>
              <w:spacing w:line="240" w:lineRule="auto"/>
              <w:ind w:left="139"/>
              <w:jc w:val="center"/>
              <w:textAlignment w:val="auto"/>
              <w:rPr>
                <w:sz w:val="21"/>
                <w:szCs w:val="21"/>
              </w:rPr>
            </w:pPr>
            <w:r>
              <w:rPr>
                <w:w w:val="95"/>
                <w:sz w:val="21"/>
                <w:szCs w:val="21"/>
              </w:rPr>
              <w:t>4</w:t>
            </w:r>
          </w:p>
        </w:tc>
        <w:tc>
          <w:tcPr>
            <w:tcW w:w="2445" w:type="dxa"/>
            <w:tcBorders>
              <w:top w:val="single" w:color="000000" w:sz="6" w:space="0"/>
              <w:bottom w:val="single" w:color="000000" w:sz="6" w:space="0"/>
            </w:tcBorders>
            <w:vAlign w:val="center"/>
          </w:tcPr>
          <w:p w14:paraId="02A5CEDD">
            <w:pPr>
              <w:pStyle w:val="13"/>
              <w:keepNext w:val="0"/>
              <w:keepLines w:val="0"/>
              <w:pageBreakBefore w:val="0"/>
              <w:widowControl w:val="0"/>
              <w:kinsoku/>
              <w:wordWrap/>
              <w:overflowPunct/>
              <w:topLinePunct w:val="0"/>
              <w:autoSpaceDE w:val="0"/>
              <w:autoSpaceDN w:val="0"/>
              <w:bidi w:val="0"/>
              <w:adjustRightInd/>
              <w:snapToGrid/>
              <w:spacing w:line="240" w:lineRule="auto"/>
              <w:ind w:right="11"/>
              <w:jc w:val="center"/>
              <w:textAlignment w:val="auto"/>
              <w:rPr>
                <w:sz w:val="21"/>
                <w:szCs w:val="21"/>
              </w:rPr>
            </w:pPr>
            <w:r>
              <w:rPr>
                <w:w w:val="90"/>
                <w:sz w:val="21"/>
                <w:szCs w:val="21"/>
              </w:rPr>
              <w:t>可减免手续费情况，包括但不限于：开户费、账户管理费、企业网银相关费用、转账汇款手续费、银行函证费、各类票据工本费、余额</w:t>
            </w:r>
            <w:r>
              <w:rPr>
                <w:sz w:val="21"/>
                <w:szCs w:val="21"/>
              </w:rPr>
              <w:t>变动短信提醒费用等。</w:t>
            </w:r>
          </w:p>
        </w:tc>
        <w:tc>
          <w:tcPr>
            <w:tcW w:w="4261" w:type="dxa"/>
            <w:tcBorders>
              <w:top w:val="single" w:color="000000" w:sz="6" w:space="0"/>
              <w:bottom w:val="single" w:color="000000" w:sz="6" w:space="0"/>
            </w:tcBorders>
            <w:vAlign w:val="center"/>
          </w:tcPr>
          <w:p w14:paraId="032213F2">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1"/>
                <w:szCs w:val="21"/>
              </w:rPr>
            </w:pPr>
            <w:r>
              <w:rPr>
                <w:sz w:val="21"/>
                <w:szCs w:val="21"/>
              </w:rPr>
              <w:t>最优为4分，较好为3分，一般为2分，较差为1分。（见服务方案）</w:t>
            </w:r>
          </w:p>
        </w:tc>
      </w:tr>
      <w:tr w14:paraId="4B307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2" w:hRule="atLeast"/>
        </w:trPr>
        <w:tc>
          <w:tcPr>
            <w:tcW w:w="635" w:type="dxa"/>
            <w:vMerge w:val="continue"/>
            <w:tcBorders>
              <w:top w:val="single" w:color="000000" w:sz="6" w:space="0"/>
              <w:bottom w:val="single" w:color="000000" w:sz="6" w:space="0"/>
            </w:tcBorders>
            <w:vAlign w:val="center"/>
          </w:tcPr>
          <w:p w14:paraId="09F382C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
                <w:szCs w:val="2"/>
              </w:rPr>
            </w:pPr>
          </w:p>
        </w:tc>
        <w:tc>
          <w:tcPr>
            <w:tcW w:w="395" w:type="dxa"/>
            <w:vMerge w:val="continue"/>
            <w:tcBorders>
              <w:top w:val="single" w:color="000000" w:sz="6" w:space="0"/>
              <w:bottom w:val="single" w:color="000000" w:sz="6" w:space="0"/>
            </w:tcBorders>
            <w:vAlign w:val="center"/>
          </w:tcPr>
          <w:p w14:paraId="65416A6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
                <w:szCs w:val="2"/>
              </w:rPr>
            </w:pPr>
          </w:p>
        </w:tc>
        <w:tc>
          <w:tcPr>
            <w:tcW w:w="1287" w:type="dxa"/>
            <w:tcBorders>
              <w:top w:val="single" w:color="000000" w:sz="6" w:space="0"/>
              <w:bottom w:val="single" w:color="000000" w:sz="6" w:space="0"/>
            </w:tcBorders>
            <w:vAlign w:val="center"/>
          </w:tcPr>
          <w:p w14:paraId="28005F8C">
            <w:pPr>
              <w:pStyle w:val="13"/>
              <w:keepNext w:val="0"/>
              <w:keepLines w:val="0"/>
              <w:pageBreakBefore w:val="0"/>
              <w:widowControl w:val="0"/>
              <w:kinsoku/>
              <w:wordWrap/>
              <w:overflowPunct/>
              <w:topLinePunct w:val="0"/>
              <w:autoSpaceDE w:val="0"/>
              <w:autoSpaceDN w:val="0"/>
              <w:bidi w:val="0"/>
              <w:adjustRightInd/>
              <w:snapToGrid/>
              <w:spacing w:line="240" w:lineRule="auto"/>
              <w:ind w:right="56"/>
              <w:jc w:val="center"/>
              <w:textAlignment w:val="auto"/>
              <w:rPr>
                <w:sz w:val="21"/>
                <w:szCs w:val="21"/>
              </w:rPr>
            </w:pPr>
            <w:r>
              <w:rPr>
                <w:w w:val="90"/>
                <w:sz w:val="21"/>
                <w:szCs w:val="21"/>
              </w:rPr>
              <w:t>资金流动性保障</w:t>
            </w:r>
            <w:r>
              <w:rPr>
                <w:sz w:val="21"/>
                <w:szCs w:val="21"/>
              </w:rPr>
              <w:t>方案</w:t>
            </w:r>
          </w:p>
        </w:tc>
        <w:tc>
          <w:tcPr>
            <w:tcW w:w="450" w:type="dxa"/>
            <w:tcBorders>
              <w:top w:val="single" w:color="000000" w:sz="6" w:space="0"/>
              <w:bottom w:val="single" w:color="000000" w:sz="6" w:space="0"/>
            </w:tcBorders>
            <w:vAlign w:val="center"/>
          </w:tcPr>
          <w:p w14:paraId="6230C468">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1"/>
                <w:szCs w:val="21"/>
              </w:rPr>
            </w:pPr>
            <w:r>
              <w:rPr>
                <w:w w:val="95"/>
                <w:sz w:val="21"/>
                <w:szCs w:val="21"/>
              </w:rPr>
              <w:t>4</w:t>
            </w:r>
          </w:p>
        </w:tc>
        <w:tc>
          <w:tcPr>
            <w:tcW w:w="2445" w:type="dxa"/>
            <w:tcBorders>
              <w:top w:val="single" w:color="000000" w:sz="6" w:space="0"/>
              <w:bottom w:val="single" w:color="000000" w:sz="6" w:space="0"/>
            </w:tcBorders>
            <w:vAlign w:val="center"/>
          </w:tcPr>
          <w:p w14:paraId="784DF062">
            <w:pPr>
              <w:pStyle w:val="13"/>
              <w:keepNext w:val="0"/>
              <w:keepLines w:val="0"/>
              <w:pageBreakBefore w:val="0"/>
              <w:widowControl w:val="0"/>
              <w:kinsoku/>
              <w:wordWrap/>
              <w:overflowPunct/>
              <w:topLinePunct w:val="0"/>
              <w:autoSpaceDE w:val="0"/>
              <w:autoSpaceDN w:val="0"/>
              <w:bidi w:val="0"/>
              <w:adjustRightInd/>
              <w:snapToGrid/>
              <w:spacing w:line="240" w:lineRule="auto"/>
              <w:ind w:right="88"/>
              <w:jc w:val="center"/>
              <w:textAlignment w:val="auto"/>
              <w:rPr>
                <w:sz w:val="21"/>
                <w:szCs w:val="21"/>
              </w:rPr>
            </w:pPr>
            <w:r>
              <w:rPr>
                <w:w w:val="90"/>
                <w:sz w:val="21"/>
                <w:szCs w:val="21"/>
              </w:rPr>
              <w:t xml:space="preserve">提前支取部分计息收益； </w:t>
            </w:r>
            <w:r>
              <w:rPr>
                <w:sz w:val="21"/>
                <w:szCs w:val="21"/>
              </w:rPr>
              <w:t>允许提前支取次数等。</w:t>
            </w:r>
          </w:p>
        </w:tc>
        <w:tc>
          <w:tcPr>
            <w:tcW w:w="4261" w:type="dxa"/>
            <w:tcBorders>
              <w:top w:val="single" w:color="000000" w:sz="6" w:space="0"/>
              <w:bottom w:val="single" w:color="000000" w:sz="6" w:space="0"/>
            </w:tcBorders>
            <w:vAlign w:val="center"/>
          </w:tcPr>
          <w:p w14:paraId="6B1F5071">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15"/>
              </w:rPr>
            </w:pPr>
            <w:r>
              <w:rPr>
                <w:sz w:val="21"/>
                <w:szCs w:val="21"/>
              </w:rPr>
              <w:t>最优为4分，较好为3分，一般为2分，较差为1分。（见服务方案）</w:t>
            </w:r>
          </w:p>
        </w:tc>
      </w:tr>
      <w:tr w14:paraId="1E79C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635" w:type="dxa"/>
            <w:vMerge w:val="continue"/>
            <w:tcBorders>
              <w:top w:val="single" w:color="000000" w:sz="6" w:space="0"/>
              <w:bottom w:val="single" w:color="000000" w:sz="6" w:space="0"/>
            </w:tcBorders>
            <w:vAlign w:val="center"/>
          </w:tcPr>
          <w:p w14:paraId="55EE029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
                <w:szCs w:val="2"/>
              </w:rPr>
            </w:pPr>
          </w:p>
        </w:tc>
        <w:tc>
          <w:tcPr>
            <w:tcW w:w="395" w:type="dxa"/>
            <w:vMerge w:val="continue"/>
            <w:tcBorders>
              <w:top w:val="single" w:color="000000" w:sz="6" w:space="0"/>
              <w:bottom w:val="single" w:color="000000" w:sz="6" w:space="0"/>
            </w:tcBorders>
            <w:vAlign w:val="center"/>
          </w:tcPr>
          <w:p w14:paraId="165DB1D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
                <w:szCs w:val="2"/>
              </w:rPr>
            </w:pPr>
          </w:p>
        </w:tc>
        <w:tc>
          <w:tcPr>
            <w:tcW w:w="1287" w:type="dxa"/>
            <w:tcBorders>
              <w:top w:val="single" w:color="000000" w:sz="6" w:space="0"/>
              <w:bottom w:val="single" w:color="000000" w:sz="6" w:space="0"/>
            </w:tcBorders>
            <w:vAlign w:val="center"/>
          </w:tcPr>
          <w:p w14:paraId="29B662ED">
            <w:pPr>
              <w:pStyle w:val="13"/>
              <w:keepNext w:val="0"/>
              <w:keepLines w:val="0"/>
              <w:pageBreakBefore w:val="0"/>
              <w:widowControl w:val="0"/>
              <w:kinsoku/>
              <w:wordWrap/>
              <w:overflowPunct/>
              <w:topLinePunct w:val="0"/>
              <w:autoSpaceDE w:val="0"/>
              <w:autoSpaceDN w:val="0"/>
              <w:bidi w:val="0"/>
              <w:adjustRightInd/>
              <w:snapToGrid/>
              <w:spacing w:line="240" w:lineRule="auto"/>
              <w:ind w:right="16"/>
              <w:jc w:val="center"/>
              <w:textAlignment w:val="auto"/>
              <w:rPr>
                <w:b/>
                <w:sz w:val="15"/>
              </w:rPr>
            </w:pPr>
            <w:r>
              <w:rPr>
                <w:b/>
                <w:sz w:val="21"/>
                <w:szCs w:val="21"/>
              </w:rPr>
              <w:t>分项小计</w:t>
            </w:r>
          </w:p>
        </w:tc>
        <w:tc>
          <w:tcPr>
            <w:tcW w:w="450" w:type="dxa"/>
            <w:tcBorders>
              <w:top w:val="single" w:color="000000" w:sz="6" w:space="0"/>
              <w:bottom w:val="single" w:color="000000" w:sz="6" w:space="0"/>
            </w:tcBorders>
            <w:vAlign w:val="center"/>
          </w:tcPr>
          <w:p w14:paraId="6B92A3A8">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b/>
                <w:sz w:val="21"/>
                <w:szCs w:val="21"/>
              </w:rPr>
            </w:pPr>
            <w:r>
              <w:rPr>
                <w:b/>
                <w:sz w:val="21"/>
                <w:szCs w:val="21"/>
              </w:rPr>
              <w:t>20</w:t>
            </w:r>
          </w:p>
        </w:tc>
        <w:tc>
          <w:tcPr>
            <w:tcW w:w="6706" w:type="dxa"/>
            <w:gridSpan w:val="2"/>
            <w:tcBorders>
              <w:top w:val="single" w:color="000000" w:sz="6" w:space="0"/>
              <w:bottom w:val="single" w:color="000000" w:sz="6" w:space="0"/>
            </w:tcBorders>
            <w:vAlign w:val="center"/>
          </w:tcPr>
          <w:p w14:paraId="5602329A">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imes New Roman"/>
                <w:sz w:val="14"/>
              </w:rPr>
            </w:pPr>
          </w:p>
        </w:tc>
      </w:tr>
      <w:tr w14:paraId="0BAE1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635" w:type="dxa"/>
            <w:vMerge w:val="restart"/>
            <w:tcBorders>
              <w:top w:val="single" w:color="000000" w:sz="6" w:space="0"/>
            </w:tcBorders>
            <w:vAlign w:val="center"/>
          </w:tcPr>
          <w:p w14:paraId="521FC2BA">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
                <w:szCs w:val="2"/>
              </w:rPr>
            </w:pPr>
          </w:p>
          <w:p w14:paraId="7862CD4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
                <w:szCs w:val="2"/>
                <w:lang w:val="en-US"/>
              </w:rPr>
            </w:pPr>
            <w:r>
              <w:rPr>
                <w:rFonts w:hint="eastAsia" w:ascii="宋体"/>
                <w:b/>
                <w:bCs/>
                <w:sz w:val="21"/>
                <w:szCs w:val="21"/>
                <w:lang w:val="en-US"/>
              </w:rPr>
              <w:t>利率水平</w:t>
            </w:r>
          </w:p>
        </w:tc>
        <w:tc>
          <w:tcPr>
            <w:tcW w:w="395" w:type="dxa"/>
            <w:vMerge w:val="restart"/>
            <w:tcBorders>
              <w:top w:val="single" w:color="000000" w:sz="6" w:space="0"/>
            </w:tcBorders>
            <w:vAlign w:val="center"/>
          </w:tcPr>
          <w:p w14:paraId="2197ED7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1"/>
                <w:szCs w:val="21"/>
                <w:lang w:val="en-US"/>
              </w:rPr>
            </w:pPr>
            <w:r>
              <w:rPr>
                <w:rFonts w:hint="eastAsia"/>
                <w:sz w:val="21"/>
                <w:szCs w:val="21"/>
                <w:lang w:val="en-US"/>
              </w:rPr>
              <w:t>C</w:t>
            </w:r>
          </w:p>
        </w:tc>
        <w:tc>
          <w:tcPr>
            <w:tcW w:w="1287" w:type="dxa"/>
            <w:tcBorders>
              <w:top w:val="single" w:color="000000" w:sz="6" w:space="0"/>
              <w:bottom w:val="single" w:color="000000" w:sz="6" w:space="0"/>
            </w:tcBorders>
            <w:vAlign w:val="center"/>
          </w:tcPr>
          <w:p w14:paraId="3AFB9146">
            <w:pPr>
              <w:pStyle w:val="13"/>
              <w:keepNext w:val="0"/>
              <w:keepLines w:val="0"/>
              <w:pageBreakBefore w:val="0"/>
              <w:widowControl w:val="0"/>
              <w:kinsoku/>
              <w:wordWrap/>
              <w:overflowPunct/>
              <w:topLinePunct w:val="0"/>
              <w:autoSpaceDE w:val="0"/>
              <w:autoSpaceDN w:val="0"/>
              <w:bidi w:val="0"/>
              <w:adjustRightInd/>
              <w:snapToGrid/>
              <w:spacing w:line="240" w:lineRule="auto"/>
              <w:ind w:right="16"/>
              <w:jc w:val="center"/>
              <w:textAlignment w:val="auto"/>
              <w:rPr>
                <w:b/>
                <w:sz w:val="21"/>
                <w:szCs w:val="21"/>
              </w:rPr>
            </w:pPr>
            <w:r>
              <w:rPr>
                <w:sz w:val="21"/>
                <w:szCs w:val="21"/>
              </w:rPr>
              <w:t>定期3个月</w:t>
            </w:r>
          </w:p>
        </w:tc>
        <w:tc>
          <w:tcPr>
            <w:tcW w:w="450" w:type="dxa"/>
            <w:tcBorders>
              <w:top w:val="single" w:color="000000" w:sz="6" w:space="0"/>
              <w:bottom w:val="single" w:color="000000" w:sz="6" w:space="0"/>
            </w:tcBorders>
            <w:vAlign w:val="center"/>
          </w:tcPr>
          <w:p w14:paraId="0E5F5056">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bCs/>
                <w:sz w:val="21"/>
                <w:szCs w:val="21"/>
                <w:lang w:val="en-US"/>
              </w:rPr>
            </w:pPr>
            <w:r>
              <w:rPr>
                <w:rFonts w:hint="eastAsia"/>
                <w:bCs/>
                <w:sz w:val="21"/>
                <w:szCs w:val="21"/>
                <w:lang w:val="en-US"/>
              </w:rPr>
              <w:t>20</w:t>
            </w:r>
          </w:p>
        </w:tc>
        <w:tc>
          <w:tcPr>
            <w:tcW w:w="6706" w:type="dxa"/>
            <w:gridSpan w:val="2"/>
            <w:vMerge w:val="restart"/>
            <w:tcBorders>
              <w:top w:val="single" w:color="000000" w:sz="6" w:space="0"/>
            </w:tcBorders>
            <w:vAlign w:val="center"/>
          </w:tcPr>
          <w:p w14:paraId="1A655AA2">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imes New Roman"/>
                <w:sz w:val="21"/>
                <w:szCs w:val="21"/>
              </w:rPr>
            </w:pPr>
            <w:r>
              <w:rPr>
                <w:spacing w:val="3"/>
                <w:w w:val="90"/>
                <w:sz w:val="21"/>
                <w:szCs w:val="21"/>
              </w:rPr>
              <w:t>以竞争银行中最高为基准，利率最高者</w:t>
            </w:r>
            <w:r>
              <w:rPr>
                <w:w w:val="90"/>
                <w:sz w:val="21"/>
                <w:szCs w:val="21"/>
              </w:rPr>
              <w:t>20</w:t>
            </w:r>
            <w:r>
              <w:rPr>
                <w:spacing w:val="1"/>
                <w:w w:val="90"/>
                <w:sz w:val="21"/>
                <w:szCs w:val="21"/>
              </w:rPr>
              <w:t>分，比最高利率每降低</w:t>
            </w:r>
            <w:r>
              <w:rPr>
                <w:spacing w:val="2"/>
                <w:w w:val="90"/>
                <w:sz w:val="21"/>
                <w:szCs w:val="21"/>
              </w:rPr>
              <w:t>0.001%</w:t>
            </w:r>
            <w:r>
              <w:rPr>
                <w:spacing w:val="3"/>
                <w:w w:val="90"/>
                <w:sz w:val="21"/>
                <w:szCs w:val="21"/>
              </w:rPr>
              <w:t>，即扣</w:t>
            </w:r>
            <w:r>
              <w:rPr>
                <w:spacing w:val="2"/>
                <w:w w:val="90"/>
                <w:sz w:val="21"/>
                <w:szCs w:val="21"/>
              </w:rPr>
              <w:t>0.1</w:t>
            </w:r>
            <w:r>
              <w:rPr>
                <w:spacing w:val="1"/>
                <w:w w:val="90"/>
                <w:sz w:val="21"/>
                <w:szCs w:val="21"/>
              </w:rPr>
              <w:t>分，得分扣到零为止。</w:t>
            </w:r>
            <w:r>
              <w:rPr>
                <w:spacing w:val="4"/>
                <w:w w:val="90"/>
                <w:sz w:val="21"/>
                <w:szCs w:val="21"/>
              </w:rPr>
              <w:t>（</w:t>
            </w:r>
            <w:r>
              <w:rPr>
                <w:spacing w:val="2"/>
                <w:w w:val="90"/>
                <w:sz w:val="21"/>
                <w:szCs w:val="21"/>
              </w:rPr>
              <w:t>指标见</w:t>
            </w:r>
            <w:r>
              <w:rPr>
                <w:spacing w:val="4"/>
                <w:sz w:val="21"/>
                <w:szCs w:val="21"/>
              </w:rPr>
              <w:t>附件</w:t>
            </w:r>
            <w:r>
              <w:rPr>
                <w:sz w:val="21"/>
                <w:szCs w:val="21"/>
              </w:rPr>
              <w:t>6）</w:t>
            </w:r>
          </w:p>
        </w:tc>
      </w:tr>
      <w:tr w14:paraId="60D4C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635" w:type="dxa"/>
            <w:vMerge w:val="continue"/>
            <w:vAlign w:val="center"/>
          </w:tcPr>
          <w:p w14:paraId="232EDF3F">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
                <w:szCs w:val="2"/>
              </w:rPr>
            </w:pPr>
          </w:p>
        </w:tc>
        <w:tc>
          <w:tcPr>
            <w:tcW w:w="395" w:type="dxa"/>
            <w:vMerge w:val="continue"/>
            <w:vAlign w:val="center"/>
          </w:tcPr>
          <w:p w14:paraId="57C491B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
                <w:szCs w:val="2"/>
              </w:rPr>
            </w:pPr>
          </w:p>
        </w:tc>
        <w:tc>
          <w:tcPr>
            <w:tcW w:w="1287" w:type="dxa"/>
            <w:tcBorders>
              <w:top w:val="single" w:color="000000" w:sz="6" w:space="0"/>
              <w:bottom w:val="single" w:color="000000" w:sz="6" w:space="0"/>
            </w:tcBorders>
            <w:vAlign w:val="center"/>
          </w:tcPr>
          <w:p w14:paraId="07BF0437">
            <w:pPr>
              <w:pStyle w:val="13"/>
              <w:keepNext w:val="0"/>
              <w:keepLines w:val="0"/>
              <w:pageBreakBefore w:val="0"/>
              <w:widowControl w:val="0"/>
              <w:kinsoku/>
              <w:wordWrap/>
              <w:overflowPunct/>
              <w:topLinePunct w:val="0"/>
              <w:autoSpaceDE w:val="0"/>
              <w:autoSpaceDN w:val="0"/>
              <w:bidi w:val="0"/>
              <w:adjustRightInd/>
              <w:snapToGrid/>
              <w:spacing w:line="240" w:lineRule="auto"/>
              <w:ind w:right="16"/>
              <w:jc w:val="center"/>
              <w:textAlignment w:val="auto"/>
              <w:rPr>
                <w:b/>
                <w:sz w:val="21"/>
                <w:szCs w:val="21"/>
              </w:rPr>
            </w:pPr>
            <w:r>
              <w:rPr>
                <w:sz w:val="21"/>
                <w:szCs w:val="21"/>
              </w:rPr>
              <w:t>定期6个月</w:t>
            </w:r>
          </w:p>
        </w:tc>
        <w:tc>
          <w:tcPr>
            <w:tcW w:w="450" w:type="dxa"/>
            <w:tcBorders>
              <w:top w:val="single" w:color="000000" w:sz="6" w:space="0"/>
              <w:bottom w:val="single" w:color="000000" w:sz="6" w:space="0"/>
            </w:tcBorders>
            <w:vAlign w:val="center"/>
          </w:tcPr>
          <w:p w14:paraId="755E7E08">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bCs/>
                <w:sz w:val="21"/>
                <w:szCs w:val="21"/>
                <w:lang w:val="en-US"/>
              </w:rPr>
            </w:pPr>
            <w:r>
              <w:rPr>
                <w:rFonts w:hint="eastAsia"/>
                <w:bCs/>
                <w:sz w:val="21"/>
                <w:szCs w:val="21"/>
                <w:lang w:val="en-US"/>
              </w:rPr>
              <w:t>20</w:t>
            </w:r>
          </w:p>
        </w:tc>
        <w:tc>
          <w:tcPr>
            <w:tcW w:w="6706" w:type="dxa"/>
            <w:gridSpan w:val="2"/>
            <w:vMerge w:val="continue"/>
            <w:vAlign w:val="center"/>
          </w:tcPr>
          <w:p w14:paraId="2EFF2488">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imes New Roman"/>
                <w:sz w:val="21"/>
                <w:szCs w:val="21"/>
              </w:rPr>
            </w:pPr>
          </w:p>
        </w:tc>
      </w:tr>
      <w:tr w14:paraId="6A5E9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635" w:type="dxa"/>
            <w:vMerge w:val="continue"/>
            <w:vAlign w:val="center"/>
          </w:tcPr>
          <w:p w14:paraId="3A4C751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
                <w:szCs w:val="2"/>
              </w:rPr>
            </w:pPr>
          </w:p>
        </w:tc>
        <w:tc>
          <w:tcPr>
            <w:tcW w:w="395" w:type="dxa"/>
            <w:vMerge w:val="continue"/>
            <w:vAlign w:val="center"/>
          </w:tcPr>
          <w:p w14:paraId="66D2E69B">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
                <w:szCs w:val="2"/>
              </w:rPr>
            </w:pPr>
          </w:p>
        </w:tc>
        <w:tc>
          <w:tcPr>
            <w:tcW w:w="1287" w:type="dxa"/>
            <w:tcBorders>
              <w:top w:val="single" w:color="000000" w:sz="6" w:space="0"/>
              <w:bottom w:val="single" w:color="000000" w:sz="6" w:space="0"/>
            </w:tcBorders>
            <w:vAlign w:val="center"/>
          </w:tcPr>
          <w:p w14:paraId="7AC2EFDC">
            <w:pPr>
              <w:pStyle w:val="13"/>
              <w:keepNext w:val="0"/>
              <w:keepLines w:val="0"/>
              <w:pageBreakBefore w:val="0"/>
              <w:widowControl w:val="0"/>
              <w:kinsoku/>
              <w:wordWrap/>
              <w:overflowPunct/>
              <w:topLinePunct w:val="0"/>
              <w:autoSpaceDE w:val="0"/>
              <w:autoSpaceDN w:val="0"/>
              <w:bidi w:val="0"/>
              <w:adjustRightInd/>
              <w:snapToGrid/>
              <w:spacing w:line="240" w:lineRule="auto"/>
              <w:ind w:right="16"/>
              <w:jc w:val="center"/>
              <w:textAlignment w:val="auto"/>
              <w:rPr>
                <w:b/>
                <w:sz w:val="21"/>
                <w:szCs w:val="21"/>
              </w:rPr>
            </w:pPr>
            <w:r>
              <w:rPr>
                <w:w w:val="90"/>
                <w:sz w:val="21"/>
                <w:szCs w:val="21"/>
              </w:rPr>
              <w:t>定期12个月</w:t>
            </w:r>
          </w:p>
        </w:tc>
        <w:tc>
          <w:tcPr>
            <w:tcW w:w="450" w:type="dxa"/>
            <w:tcBorders>
              <w:top w:val="single" w:color="000000" w:sz="6" w:space="0"/>
              <w:bottom w:val="single" w:color="000000" w:sz="6" w:space="0"/>
            </w:tcBorders>
            <w:vAlign w:val="center"/>
          </w:tcPr>
          <w:p w14:paraId="185D63B5">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bCs/>
                <w:sz w:val="21"/>
                <w:szCs w:val="21"/>
                <w:lang w:val="en-US"/>
              </w:rPr>
            </w:pPr>
            <w:r>
              <w:rPr>
                <w:rFonts w:hint="eastAsia"/>
                <w:bCs/>
                <w:sz w:val="21"/>
                <w:szCs w:val="21"/>
                <w:lang w:val="en-US"/>
              </w:rPr>
              <w:t>20</w:t>
            </w:r>
          </w:p>
        </w:tc>
        <w:tc>
          <w:tcPr>
            <w:tcW w:w="6706" w:type="dxa"/>
            <w:gridSpan w:val="2"/>
            <w:vMerge w:val="continue"/>
            <w:tcBorders>
              <w:bottom w:val="single" w:color="000000" w:sz="6" w:space="0"/>
            </w:tcBorders>
            <w:vAlign w:val="center"/>
          </w:tcPr>
          <w:p w14:paraId="6800B9AC">
            <w:pPr>
              <w:pStyle w:val="13"/>
              <w:keepNext w:val="0"/>
              <w:keepLines w:val="0"/>
              <w:pageBreakBefore w:val="0"/>
              <w:widowControl w:val="0"/>
              <w:kinsoku/>
              <w:wordWrap/>
              <w:overflowPunct/>
              <w:topLinePunct w:val="0"/>
              <w:autoSpaceDE w:val="0"/>
              <w:autoSpaceDN w:val="0"/>
              <w:bidi w:val="0"/>
              <w:adjustRightInd/>
              <w:snapToGrid/>
              <w:spacing w:line="240" w:lineRule="auto"/>
              <w:ind w:right="219"/>
              <w:jc w:val="center"/>
              <w:textAlignment w:val="auto"/>
              <w:rPr>
                <w:rFonts w:ascii="Times New Roman"/>
                <w:sz w:val="21"/>
                <w:szCs w:val="21"/>
              </w:rPr>
            </w:pPr>
          </w:p>
        </w:tc>
      </w:tr>
      <w:tr w14:paraId="3C80C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635" w:type="dxa"/>
            <w:vMerge w:val="continue"/>
            <w:vAlign w:val="center"/>
          </w:tcPr>
          <w:p w14:paraId="2CCF273F">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
                <w:szCs w:val="2"/>
              </w:rPr>
            </w:pPr>
          </w:p>
        </w:tc>
        <w:tc>
          <w:tcPr>
            <w:tcW w:w="395" w:type="dxa"/>
            <w:vMerge w:val="continue"/>
            <w:vAlign w:val="center"/>
          </w:tcPr>
          <w:p w14:paraId="5FE1D27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
                <w:szCs w:val="2"/>
              </w:rPr>
            </w:pPr>
          </w:p>
        </w:tc>
        <w:tc>
          <w:tcPr>
            <w:tcW w:w="1287" w:type="dxa"/>
            <w:tcBorders>
              <w:top w:val="single" w:color="000000" w:sz="6" w:space="0"/>
              <w:bottom w:val="single" w:color="000000" w:sz="6" w:space="0"/>
            </w:tcBorders>
            <w:vAlign w:val="center"/>
          </w:tcPr>
          <w:p w14:paraId="3F2D87F5">
            <w:pPr>
              <w:pStyle w:val="13"/>
              <w:keepNext w:val="0"/>
              <w:keepLines w:val="0"/>
              <w:pageBreakBefore w:val="0"/>
              <w:widowControl w:val="0"/>
              <w:kinsoku/>
              <w:wordWrap/>
              <w:overflowPunct/>
              <w:topLinePunct w:val="0"/>
              <w:autoSpaceDE w:val="0"/>
              <w:autoSpaceDN w:val="0"/>
              <w:bidi w:val="0"/>
              <w:adjustRightInd/>
              <w:snapToGrid/>
              <w:spacing w:line="240" w:lineRule="auto"/>
              <w:ind w:right="16"/>
              <w:jc w:val="center"/>
              <w:textAlignment w:val="auto"/>
              <w:rPr>
                <w:b/>
                <w:sz w:val="15"/>
              </w:rPr>
            </w:pPr>
            <w:r>
              <w:rPr>
                <w:b/>
                <w:sz w:val="21"/>
                <w:szCs w:val="21"/>
              </w:rPr>
              <w:t>分项小计</w:t>
            </w:r>
          </w:p>
        </w:tc>
        <w:tc>
          <w:tcPr>
            <w:tcW w:w="450" w:type="dxa"/>
            <w:tcBorders>
              <w:top w:val="single" w:color="000000" w:sz="6" w:space="0"/>
              <w:bottom w:val="single" w:color="000000" w:sz="6" w:space="0"/>
            </w:tcBorders>
            <w:vAlign w:val="center"/>
          </w:tcPr>
          <w:p w14:paraId="2FA83F93">
            <w:pPr>
              <w:pStyle w:val="13"/>
              <w:keepNext w:val="0"/>
              <w:keepLines w:val="0"/>
              <w:pageBreakBefore w:val="0"/>
              <w:widowControl w:val="0"/>
              <w:kinsoku/>
              <w:wordWrap/>
              <w:overflowPunct/>
              <w:topLinePunct w:val="0"/>
              <w:autoSpaceDE w:val="0"/>
              <w:autoSpaceDN w:val="0"/>
              <w:bidi w:val="0"/>
              <w:adjustRightInd/>
              <w:snapToGrid/>
              <w:spacing w:line="240" w:lineRule="auto"/>
              <w:ind w:right="33"/>
              <w:jc w:val="center"/>
              <w:textAlignment w:val="auto"/>
              <w:rPr>
                <w:b/>
                <w:sz w:val="15"/>
                <w:lang w:val="en-US"/>
              </w:rPr>
            </w:pPr>
            <w:r>
              <w:rPr>
                <w:b/>
                <w:sz w:val="21"/>
                <w:szCs w:val="21"/>
              </w:rPr>
              <w:t>60</w:t>
            </w:r>
          </w:p>
        </w:tc>
        <w:tc>
          <w:tcPr>
            <w:tcW w:w="6706" w:type="dxa"/>
            <w:gridSpan w:val="2"/>
            <w:tcBorders>
              <w:top w:val="single" w:color="000000" w:sz="6" w:space="0"/>
              <w:bottom w:val="single" w:color="000000" w:sz="6" w:space="0"/>
            </w:tcBorders>
            <w:vAlign w:val="center"/>
          </w:tcPr>
          <w:p w14:paraId="22021D50">
            <w:pPr>
              <w:pStyle w:val="13"/>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imes New Roman"/>
                <w:sz w:val="14"/>
              </w:rPr>
            </w:pPr>
          </w:p>
        </w:tc>
      </w:tr>
    </w:tbl>
    <w:p w14:paraId="2B2E037A">
      <w:pPr>
        <w:spacing w:before="66" w:line="427" w:lineRule="auto"/>
        <w:ind w:left="455" w:leftChars="207" w:firstLine="1100" w:firstLineChars="500"/>
        <w:rPr>
          <w:sz w:val="24"/>
          <w:highlight w:val="none"/>
        </w:rPr>
      </w:pPr>
      <w:r>
        <w:rPr>
          <w:spacing w:val="-10"/>
          <w:sz w:val="24"/>
          <w:highlight w:val="none"/>
        </w:rPr>
        <w:t>注：</w:t>
      </w:r>
      <w:r>
        <w:rPr>
          <w:sz w:val="24"/>
          <w:highlight w:val="none"/>
        </w:rPr>
        <w:t>选取定期存款银行的计分方法：A项目分值+B项目分值+</w:t>
      </w:r>
      <w:r>
        <w:rPr>
          <w:rFonts w:hint="eastAsia"/>
          <w:sz w:val="24"/>
          <w:highlight w:val="none"/>
          <w:lang w:val="en-US"/>
        </w:rPr>
        <w:t>C</w:t>
      </w:r>
      <w:r>
        <w:rPr>
          <w:sz w:val="24"/>
          <w:highlight w:val="none"/>
        </w:rPr>
        <w:t>项目分值；如出现排名并列</w:t>
      </w:r>
      <w:r>
        <w:rPr>
          <w:rFonts w:hint="eastAsia"/>
          <w:sz w:val="24"/>
          <w:highlight w:val="none"/>
          <w:lang w:val="en-US"/>
        </w:rPr>
        <w:t>的</w:t>
      </w:r>
      <w:r>
        <w:rPr>
          <w:sz w:val="24"/>
          <w:highlight w:val="none"/>
        </w:rPr>
        <w:t>情况，</w:t>
      </w:r>
      <w:r>
        <w:rPr>
          <w:rFonts w:hint="eastAsia"/>
          <w:sz w:val="24"/>
          <w:highlight w:val="none"/>
          <w:lang w:val="en-US" w:eastAsia="zh-CN"/>
        </w:rPr>
        <w:t>由专家进行综合评价确定</w:t>
      </w:r>
      <w:r>
        <w:rPr>
          <w:sz w:val="24"/>
          <w:highlight w:val="none"/>
        </w:rPr>
        <w:t>。</w:t>
      </w:r>
    </w:p>
    <w:p w14:paraId="53EB9006">
      <w:pPr>
        <w:rPr>
          <w:rFonts w:ascii="Times New Roman"/>
          <w:sz w:val="14"/>
          <w:highlight w:val="yellow"/>
        </w:rPr>
        <w:sectPr>
          <w:type w:val="continuous"/>
          <w:pgSz w:w="11910" w:h="16840"/>
          <w:pgMar w:top="1440" w:right="640" w:bottom="1380" w:left="620" w:header="720" w:footer="720" w:gutter="0"/>
          <w:cols w:space="720" w:num="1"/>
        </w:sectPr>
      </w:pPr>
    </w:p>
    <w:p w14:paraId="7DF2CB69">
      <w:pPr>
        <w:pStyle w:val="4"/>
        <w:spacing w:before="30"/>
        <w:ind w:left="1180"/>
      </w:pPr>
      <w:r>
        <w:rPr>
          <w:spacing w:val="-27"/>
        </w:rPr>
        <w:t xml:space="preserve">附件 </w:t>
      </w:r>
      <w:r>
        <w:t>2</w:t>
      </w:r>
    </w:p>
    <w:p w14:paraId="39237781">
      <w:pPr>
        <w:pStyle w:val="4"/>
        <w:rPr>
          <w:sz w:val="57"/>
        </w:rPr>
      </w:pPr>
      <w:r>
        <w:br w:type="column"/>
      </w:r>
    </w:p>
    <w:p w14:paraId="7EDC35DB">
      <w:pPr>
        <w:pStyle w:val="2"/>
      </w:pPr>
      <w:r>
        <w:t>响应函</w:t>
      </w:r>
    </w:p>
    <w:p w14:paraId="55E14176">
      <w:pPr>
        <w:sectPr>
          <w:pgSz w:w="11910" w:h="16840"/>
          <w:pgMar w:top="1500" w:right="640" w:bottom="1160" w:left="620" w:header="0" w:footer="970" w:gutter="0"/>
          <w:cols w:equalWidth="0" w:num="2">
            <w:col w:w="2100" w:space="1392"/>
            <w:col w:w="7158"/>
          </w:cols>
        </w:sectPr>
      </w:pPr>
    </w:p>
    <w:p w14:paraId="2A4EBB98">
      <w:pPr>
        <w:pStyle w:val="4"/>
        <w:rPr>
          <w:rFonts w:ascii="宋体"/>
          <w:sz w:val="20"/>
        </w:rPr>
      </w:pPr>
    </w:p>
    <w:p w14:paraId="20B8C94A">
      <w:pPr>
        <w:pStyle w:val="4"/>
        <w:rPr>
          <w:rFonts w:ascii="宋体"/>
          <w:sz w:val="20"/>
        </w:rPr>
      </w:pPr>
    </w:p>
    <w:p w14:paraId="334A91C1">
      <w:pPr>
        <w:pStyle w:val="4"/>
        <w:spacing w:before="5"/>
        <w:rPr>
          <w:rFonts w:ascii="宋体"/>
          <w:sz w:val="15"/>
        </w:rPr>
      </w:pPr>
    </w:p>
    <w:p w14:paraId="57860991">
      <w:pPr>
        <w:pStyle w:val="4"/>
        <w:spacing w:before="54"/>
        <w:ind w:left="1180"/>
      </w:pPr>
      <w:r>
        <w:t>致：</w:t>
      </w:r>
    </w:p>
    <w:p w14:paraId="4836F176">
      <w:pPr>
        <w:pStyle w:val="4"/>
        <w:spacing w:before="11"/>
        <w:rPr>
          <w:sz w:val="28"/>
        </w:rPr>
      </w:pPr>
    </w:p>
    <w:p w14:paraId="14D5E148">
      <w:pPr>
        <w:pStyle w:val="4"/>
        <w:spacing w:line="364" w:lineRule="auto"/>
        <w:ind w:left="1180" w:right="1115" w:firstLine="640"/>
      </w:pPr>
      <w:r>
        <w:t>（报名参与银行全称）自愿参加贵单位组织的资金存放项目，为此：</w:t>
      </w:r>
    </w:p>
    <w:p w14:paraId="4543D17C">
      <w:pPr>
        <w:pStyle w:val="4"/>
        <w:spacing w:line="364" w:lineRule="auto"/>
        <w:ind w:left="1180" w:right="1115" w:firstLine="640"/>
      </w:pPr>
      <w:r>
        <w:rPr>
          <w:rFonts w:hint="eastAsia"/>
          <w:lang w:val="en-US"/>
        </w:rPr>
        <w:t>1.</w:t>
      </w:r>
      <w:r>
        <w:t>提供竞争性</w:t>
      </w:r>
      <w:r>
        <w:rPr>
          <w:rFonts w:hint="eastAsia"/>
          <w:lang w:val="en-US" w:eastAsia="zh-CN"/>
        </w:rPr>
        <w:t>遴选</w:t>
      </w:r>
      <w:r>
        <w:rPr>
          <w:rFonts w:hint="eastAsia"/>
          <w:lang w:val="en-US"/>
        </w:rPr>
        <w:t>邀请书</w:t>
      </w:r>
      <w:r>
        <w:t>规定的全部响应文件，包括：营业执照及金融许可证复印件、</w:t>
      </w:r>
      <w:r>
        <w:rPr>
          <w:rFonts w:hint="eastAsia"/>
          <w:lang w:val="en-US"/>
        </w:rPr>
        <w:t>202</w:t>
      </w:r>
      <w:r>
        <w:rPr>
          <w:rFonts w:hint="eastAsia"/>
          <w:lang w:val="en-US" w:eastAsia="zh-CN"/>
        </w:rPr>
        <w:t>5</w:t>
      </w:r>
      <w:r>
        <w:t>年度年审报告及内控审计报告、授权书、廉洁承诺书、本行经营状况介绍、资金存放项目服务方案、报价函等。</w:t>
      </w:r>
    </w:p>
    <w:p w14:paraId="1397CACC">
      <w:pPr>
        <w:pStyle w:val="4"/>
        <w:spacing w:line="364" w:lineRule="auto"/>
        <w:ind w:left="1180" w:right="1115" w:firstLine="640"/>
        <w:rPr>
          <w:lang w:val="en-US"/>
        </w:rPr>
      </w:pPr>
      <w:r>
        <w:rPr>
          <w:rFonts w:hint="eastAsia"/>
          <w:lang w:val="en-US"/>
        </w:rPr>
        <w:t>2.明确为贵单位办理资金存放手续的银行机构名称及地址。（如为分支机构，请明确分支机构名称）</w:t>
      </w:r>
    </w:p>
    <w:p w14:paraId="05EFF683">
      <w:pPr>
        <w:pStyle w:val="4"/>
        <w:spacing w:line="364" w:lineRule="auto"/>
        <w:ind w:left="1180" w:right="1115" w:firstLine="640"/>
        <w:rPr>
          <w:lang w:val="en-US"/>
        </w:rPr>
      </w:pPr>
      <w:r>
        <w:rPr>
          <w:rFonts w:hint="eastAsia"/>
          <w:lang w:val="en-US"/>
        </w:rPr>
        <w:t>3.我行将按竞争性</w:t>
      </w:r>
      <w:r>
        <w:rPr>
          <w:rFonts w:hint="eastAsia"/>
          <w:lang w:val="en-US" w:eastAsia="zh-CN"/>
        </w:rPr>
        <w:t>遴选</w:t>
      </w:r>
      <w:r>
        <w:rPr>
          <w:rFonts w:hint="eastAsia"/>
          <w:lang w:val="en-US"/>
        </w:rPr>
        <w:t>邀请书的规定履行全部责任和义务。</w:t>
      </w:r>
    </w:p>
    <w:p w14:paraId="713778CB">
      <w:pPr>
        <w:pStyle w:val="4"/>
        <w:spacing w:line="364" w:lineRule="auto"/>
        <w:ind w:left="1180" w:right="1115" w:firstLine="640"/>
        <w:rPr>
          <w:lang w:val="en-US"/>
        </w:rPr>
      </w:pPr>
      <w:r>
        <w:rPr>
          <w:rFonts w:hint="eastAsia"/>
          <w:lang w:val="en-US"/>
        </w:rPr>
        <w:t>4.我行向贵单位提供的全部响应文件均真实、有效，并愿意向贵单位提供任何与该响应文件有关的文件、资格证明或其他相关材料。</w:t>
      </w:r>
    </w:p>
    <w:p w14:paraId="6C4C684E">
      <w:pPr>
        <w:pStyle w:val="4"/>
        <w:spacing w:line="364" w:lineRule="auto"/>
        <w:ind w:left="1180" w:right="1115" w:firstLine="640"/>
        <w:rPr>
          <w:lang w:val="en-US"/>
        </w:rPr>
      </w:pPr>
      <w:r>
        <w:rPr>
          <w:rFonts w:hint="eastAsia"/>
          <w:lang w:val="en-US"/>
        </w:rPr>
        <w:t>5.我行已详细审查全部竞争性</w:t>
      </w:r>
      <w:r>
        <w:rPr>
          <w:rFonts w:hint="eastAsia"/>
          <w:lang w:val="en-US" w:eastAsia="zh-CN"/>
        </w:rPr>
        <w:t>遴选</w:t>
      </w:r>
      <w:r>
        <w:rPr>
          <w:rFonts w:hint="eastAsia"/>
          <w:lang w:val="en-US"/>
        </w:rPr>
        <w:t>邀请书，我们完全理解并同意放弃对竞争性</w:t>
      </w:r>
      <w:r>
        <w:rPr>
          <w:rFonts w:hint="eastAsia"/>
          <w:lang w:val="en-US" w:eastAsia="zh-CN"/>
        </w:rPr>
        <w:t>遴选</w:t>
      </w:r>
      <w:bookmarkStart w:id="0" w:name="_GoBack"/>
      <w:bookmarkEnd w:id="0"/>
      <w:r>
        <w:rPr>
          <w:rFonts w:hint="eastAsia"/>
          <w:lang w:val="en-US"/>
        </w:rPr>
        <w:t>邀请书提出质疑或争议的权利。</w:t>
      </w:r>
    </w:p>
    <w:p w14:paraId="574CB130">
      <w:pPr>
        <w:pStyle w:val="4"/>
        <w:spacing w:line="364" w:lineRule="auto"/>
        <w:ind w:left="1180" w:right="1115" w:firstLine="640"/>
        <w:rPr>
          <w:lang w:val="en-US"/>
        </w:rPr>
      </w:pPr>
      <w:r>
        <w:rPr>
          <w:rFonts w:hint="eastAsia"/>
          <w:lang w:val="en-US"/>
        </w:rPr>
        <w:t>6.我行承诺为贵单位提供资金存放服务期间不改变响应文件中的主要条款和实质性内容。</w:t>
      </w:r>
    </w:p>
    <w:p w14:paraId="55832D36">
      <w:pPr>
        <w:pStyle w:val="4"/>
        <w:spacing w:line="364" w:lineRule="auto"/>
        <w:ind w:left="1180" w:right="1115" w:firstLine="640"/>
        <w:rPr>
          <w:lang w:val="en-US"/>
        </w:rPr>
      </w:pPr>
      <w:r>
        <w:rPr>
          <w:rFonts w:hint="eastAsia"/>
          <w:lang w:val="en-US"/>
        </w:rPr>
        <w:t>7.与本响应文件有关的一切往来通讯请寄：</w:t>
      </w:r>
    </w:p>
    <w:p w14:paraId="631D1B8D">
      <w:pPr>
        <w:pStyle w:val="4"/>
        <w:spacing w:line="364" w:lineRule="auto"/>
        <w:ind w:left="1180" w:right="1115" w:firstLine="640"/>
        <w:rPr>
          <w:lang w:val="en-US"/>
        </w:rPr>
        <w:sectPr>
          <w:type w:val="continuous"/>
          <w:pgSz w:w="11910" w:h="16840"/>
          <w:pgMar w:top="1440" w:right="640" w:bottom="1380" w:left="620" w:header="720" w:footer="720" w:gutter="0"/>
          <w:cols w:space="720" w:num="1"/>
        </w:sectPr>
      </w:pPr>
    </w:p>
    <w:p w14:paraId="46A98185">
      <w:pPr>
        <w:pStyle w:val="4"/>
        <w:tabs>
          <w:tab w:val="left" w:pos="7818"/>
        </w:tabs>
        <w:spacing w:before="30" w:line="364" w:lineRule="auto"/>
        <w:ind w:left="1820" w:right="2825"/>
        <w:jc w:val="both"/>
        <w:rPr>
          <w:rFonts w:ascii="Times New Roman" w:eastAsia="Times New Roman"/>
        </w:rPr>
      </w:pPr>
      <w:r>
        <w:rPr>
          <w:w w:val="95"/>
        </w:rPr>
        <w:t>联系人姓名：</w:t>
      </w:r>
      <w:r>
        <w:rPr>
          <w:w w:val="95"/>
          <w:u w:val="single"/>
        </w:rPr>
        <w:tab/>
      </w:r>
      <w:r>
        <w:rPr>
          <w:w w:val="95"/>
          <w:u w:val="single"/>
        </w:rPr>
        <w:t xml:space="preserve">                         </w:t>
      </w:r>
      <w:r>
        <w:rPr>
          <w:w w:val="95"/>
        </w:rPr>
        <w:t>地址：</w:t>
      </w:r>
      <w:r>
        <w:rPr>
          <w:w w:val="95"/>
          <w:u w:val="single"/>
        </w:rPr>
        <w:tab/>
      </w:r>
      <w:r>
        <w:rPr>
          <w:w w:val="95"/>
          <w:u w:val="single"/>
        </w:rPr>
        <w:t xml:space="preserve">                                </w:t>
      </w:r>
      <w:r>
        <w:rPr>
          <w:w w:val="95"/>
        </w:rPr>
        <w:t>电话及传真：</w:t>
      </w:r>
      <w:r>
        <w:rPr>
          <w:w w:val="95"/>
          <w:u w:val="single"/>
        </w:rPr>
        <w:tab/>
      </w:r>
      <w:r>
        <w:rPr>
          <w:w w:val="95"/>
          <w:u w:val="single"/>
        </w:rPr>
        <w:t xml:space="preserve">                         </w:t>
      </w:r>
      <w:r>
        <w:rPr>
          <w:w w:val="95"/>
        </w:rPr>
        <w:t>电子邮箱：</w:t>
      </w:r>
      <w:r>
        <w:rPr>
          <w:rFonts w:ascii="Times New Roman" w:eastAsia="Times New Roman"/>
          <w:w w:val="95"/>
          <w:u w:val="single"/>
        </w:rPr>
        <w:t xml:space="preserve"> </w:t>
      </w:r>
      <w:r>
        <w:rPr>
          <w:rFonts w:ascii="Times New Roman" w:eastAsia="Times New Roman"/>
          <w:u w:val="single"/>
        </w:rPr>
        <w:tab/>
      </w:r>
    </w:p>
    <w:p w14:paraId="2536857E">
      <w:pPr>
        <w:pStyle w:val="4"/>
        <w:rPr>
          <w:rFonts w:ascii="Times New Roman"/>
          <w:sz w:val="20"/>
        </w:rPr>
      </w:pPr>
    </w:p>
    <w:p w14:paraId="03826144">
      <w:pPr>
        <w:pStyle w:val="4"/>
        <w:rPr>
          <w:rFonts w:ascii="Times New Roman"/>
          <w:sz w:val="20"/>
        </w:rPr>
      </w:pPr>
    </w:p>
    <w:p w14:paraId="44E2D35E">
      <w:pPr>
        <w:pStyle w:val="4"/>
        <w:rPr>
          <w:rFonts w:ascii="Times New Roman"/>
          <w:sz w:val="20"/>
        </w:rPr>
      </w:pPr>
    </w:p>
    <w:p w14:paraId="7273727E">
      <w:pPr>
        <w:pStyle w:val="4"/>
        <w:rPr>
          <w:rFonts w:ascii="Times New Roman"/>
          <w:sz w:val="20"/>
        </w:rPr>
      </w:pPr>
    </w:p>
    <w:p w14:paraId="591742F4">
      <w:pPr>
        <w:pStyle w:val="4"/>
        <w:rPr>
          <w:rFonts w:ascii="Times New Roman"/>
          <w:sz w:val="20"/>
        </w:rPr>
      </w:pPr>
    </w:p>
    <w:p w14:paraId="0AF54A41">
      <w:pPr>
        <w:pStyle w:val="4"/>
        <w:rPr>
          <w:rFonts w:ascii="Times New Roman"/>
          <w:sz w:val="20"/>
        </w:rPr>
      </w:pPr>
    </w:p>
    <w:p w14:paraId="6F7F57AB">
      <w:pPr>
        <w:pStyle w:val="4"/>
        <w:rPr>
          <w:rFonts w:ascii="Times New Roman"/>
          <w:sz w:val="20"/>
        </w:rPr>
      </w:pPr>
    </w:p>
    <w:p w14:paraId="4663F5CB">
      <w:pPr>
        <w:pStyle w:val="4"/>
        <w:spacing w:before="4"/>
        <w:rPr>
          <w:rFonts w:ascii="Times New Roman"/>
          <w:sz w:val="18"/>
        </w:rPr>
      </w:pPr>
    </w:p>
    <w:p w14:paraId="32365907">
      <w:pPr>
        <w:pStyle w:val="4"/>
        <w:spacing w:before="54" w:line="364" w:lineRule="auto"/>
        <w:ind w:left="1820" w:right="2585"/>
        <w:rPr>
          <w:spacing w:val="-6"/>
          <w:w w:val="99"/>
        </w:rPr>
      </w:pPr>
      <w:r>
        <w:rPr>
          <w:rFonts w:hint="eastAsia"/>
          <w:w w:val="99"/>
          <w:lang w:val="en-US"/>
        </w:rPr>
        <w:t>银行</w:t>
      </w:r>
      <w:r>
        <w:rPr>
          <w:w w:val="99"/>
        </w:rPr>
        <w:t>单位名称（</w:t>
      </w:r>
      <w:r>
        <w:rPr>
          <w:spacing w:val="1"/>
          <w:w w:val="99"/>
        </w:rPr>
        <w:t>公章</w:t>
      </w:r>
      <w:r>
        <w:rPr>
          <w:spacing w:val="-167"/>
          <w:w w:val="99"/>
        </w:rPr>
        <w:t>）</w:t>
      </w:r>
      <w:r>
        <w:rPr>
          <w:spacing w:val="-6"/>
          <w:w w:val="99"/>
        </w:rPr>
        <w:t>：</w:t>
      </w:r>
    </w:p>
    <w:p w14:paraId="1C460808">
      <w:pPr>
        <w:pStyle w:val="4"/>
        <w:spacing w:before="54" w:line="364" w:lineRule="auto"/>
        <w:ind w:left="1820" w:right="2585"/>
      </w:pPr>
      <w:r>
        <w:t>日期：</w:t>
      </w:r>
    </w:p>
    <w:p w14:paraId="2B154D1F">
      <w:pPr>
        <w:spacing w:line="364" w:lineRule="auto"/>
        <w:sectPr>
          <w:footerReference r:id="rId5" w:type="default"/>
          <w:pgSz w:w="11910" w:h="16840"/>
          <w:pgMar w:top="1500" w:right="640" w:bottom="1160" w:left="620" w:header="0" w:footer="970" w:gutter="0"/>
          <w:pgNumType w:start="9"/>
          <w:cols w:space="720" w:num="1"/>
        </w:sectPr>
      </w:pPr>
    </w:p>
    <w:p w14:paraId="49E499B4">
      <w:pPr>
        <w:pStyle w:val="4"/>
        <w:spacing w:before="30"/>
        <w:ind w:left="1180"/>
      </w:pPr>
      <w:r>
        <w:rPr>
          <w:spacing w:val="-27"/>
        </w:rPr>
        <w:t xml:space="preserve">附件 </w:t>
      </w:r>
      <w:r>
        <w:t>3</w:t>
      </w:r>
    </w:p>
    <w:p w14:paraId="5EF62E9C">
      <w:pPr>
        <w:pStyle w:val="4"/>
        <w:spacing w:before="11"/>
        <w:rPr>
          <w:sz w:val="44"/>
        </w:rPr>
      </w:pPr>
      <w:r>
        <w:br w:type="column"/>
      </w:r>
    </w:p>
    <w:p w14:paraId="2E6127D4">
      <w:pPr>
        <w:pStyle w:val="2"/>
      </w:pPr>
      <w:r>
        <w:t>授权书</w:t>
      </w:r>
    </w:p>
    <w:p w14:paraId="2E273646">
      <w:pPr>
        <w:sectPr>
          <w:pgSz w:w="11910" w:h="16840"/>
          <w:pgMar w:top="1500" w:right="640" w:bottom="1160" w:left="620" w:header="0" w:footer="970" w:gutter="0"/>
          <w:cols w:equalWidth="0" w:num="2">
            <w:col w:w="2100" w:space="1392"/>
            <w:col w:w="7158"/>
          </w:cols>
        </w:sectPr>
      </w:pPr>
    </w:p>
    <w:p w14:paraId="4F3839B5">
      <w:pPr>
        <w:pStyle w:val="4"/>
        <w:rPr>
          <w:rFonts w:ascii="宋体"/>
          <w:sz w:val="20"/>
        </w:rPr>
      </w:pPr>
    </w:p>
    <w:p w14:paraId="25158033">
      <w:pPr>
        <w:pStyle w:val="4"/>
        <w:spacing w:before="2"/>
        <w:rPr>
          <w:rFonts w:ascii="宋体"/>
          <w:sz w:val="23"/>
        </w:rPr>
      </w:pPr>
    </w:p>
    <w:p w14:paraId="0C7D0AC1">
      <w:pPr>
        <w:pStyle w:val="4"/>
        <w:spacing w:before="54"/>
        <w:ind w:left="1180"/>
      </w:pPr>
      <w:r>
        <w:t>致：</w:t>
      </w:r>
    </w:p>
    <w:p w14:paraId="726C9EA9">
      <w:pPr>
        <w:pStyle w:val="4"/>
        <w:spacing w:before="214"/>
        <w:ind w:left="1820"/>
      </w:pPr>
      <w:r>
        <w:rPr>
          <w:spacing w:val="7"/>
          <w:w w:val="99"/>
        </w:rPr>
        <w:t>（</w:t>
      </w:r>
      <w:r>
        <w:rPr>
          <w:spacing w:val="6"/>
          <w:w w:val="99"/>
        </w:rPr>
        <w:t>报名银行全称</w:t>
      </w:r>
      <w:r>
        <w:rPr>
          <w:spacing w:val="-154"/>
          <w:w w:val="99"/>
        </w:rPr>
        <w:t>）</w:t>
      </w:r>
      <w:r>
        <w:rPr>
          <w:spacing w:val="7"/>
          <w:w w:val="99"/>
        </w:rPr>
        <w:t>（授权人职务及姓名）授权（</w:t>
      </w:r>
      <w:r>
        <w:rPr>
          <w:spacing w:val="4"/>
          <w:w w:val="99"/>
        </w:rPr>
        <w:t>被授权</w:t>
      </w:r>
    </w:p>
    <w:p w14:paraId="272BE3B1">
      <w:pPr>
        <w:pStyle w:val="4"/>
        <w:spacing w:before="6"/>
        <w:rPr>
          <w:sz w:val="12"/>
        </w:rPr>
      </w:pPr>
    </w:p>
    <w:p w14:paraId="3EF047AB">
      <w:pPr>
        <w:pStyle w:val="4"/>
        <w:spacing w:before="55" w:line="364" w:lineRule="auto"/>
        <w:ind w:left="1820" w:right="841" w:hanging="641"/>
        <w:rPr>
          <w:w w:val="95"/>
        </w:rPr>
      </w:pPr>
      <w:r>
        <w:rPr>
          <w:w w:val="95"/>
        </w:rPr>
        <w:t>人职务及姓名</w:t>
      </w:r>
      <w:r>
        <w:rPr>
          <w:spacing w:val="-15"/>
          <w:w w:val="95"/>
        </w:rPr>
        <w:t>）</w:t>
      </w:r>
      <w:r>
        <w:rPr>
          <w:w w:val="95"/>
        </w:rPr>
        <w:t xml:space="preserve">代表本行参加贵单位资金存放项目有关事宜。 </w:t>
      </w:r>
    </w:p>
    <w:p w14:paraId="235DABF9">
      <w:pPr>
        <w:pStyle w:val="4"/>
        <w:spacing w:before="55" w:line="364" w:lineRule="auto"/>
        <w:ind w:left="1566" w:leftChars="712" w:right="841" w:firstLine="321" w:firstLineChars="110"/>
      </w:pPr>
      <w:r>
        <w:rPr>
          <w:spacing w:val="-14"/>
        </w:rPr>
        <w:t xml:space="preserve">本授权书于 </w:t>
      </w:r>
      <w:r>
        <w:t>XX</w:t>
      </w:r>
      <w:r>
        <w:rPr>
          <w:spacing w:val="-55"/>
        </w:rPr>
        <w:t xml:space="preserve"> 年 </w:t>
      </w:r>
      <w:r>
        <w:t>XX</w:t>
      </w:r>
      <w:r>
        <w:rPr>
          <w:spacing w:val="-1"/>
        </w:rPr>
        <w:t xml:space="preserve"> 月</w:t>
      </w:r>
      <w:r>
        <w:t>XX</w:t>
      </w:r>
      <w:r>
        <w:rPr>
          <w:spacing w:val="-17"/>
        </w:rPr>
        <w:t xml:space="preserve"> 日签字生效，有效期至 </w:t>
      </w:r>
      <w:r>
        <w:t>XX</w:t>
      </w:r>
      <w:r>
        <w:rPr>
          <w:spacing w:val="-42"/>
        </w:rPr>
        <w:t xml:space="preserve"> 年</w:t>
      </w:r>
    </w:p>
    <w:p w14:paraId="45399F9D">
      <w:pPr>
        <w:pStyle w:val="4"/>
        <w:spacing w:before="1"/>
        <w:ind w:left="1180"/>
      </w:pPr>
      <w:r>
        <w:t>XX 月XX 日。被授权人不得转授权，特此声明。</w:t>
      </w:r>
    </w:p>
    <w:p w14:paraId="4D772A1A">
      <w:pPr>
        <w:pStyle w:val="4"/>
      </w:pPr>
    </w:p>
    <w:p w14:paraId="61BC0322">
      <w:pPr>
        <w:pStyle w:val="4"/>
        <w:spacing w:before="5"/>
        <w:rPr>
          <w:sz w:val="33"/>
        </w:rPr>
      </w:pPr>
    </w:p>
    <w:p w14:paraId="61BC2B61">
      <w:pPr>
        <w:pStyle w:val="4"/>
        <w:ind w:left="1820"/>
      </w:pPr>
      <w:r>
        <w:rPr>
          <w:rFonts w:hint="eastAsia"/>
          <w:w w:val="99"/>
          <w:lang w:val="en-US"/>
        </w:rPr>
        <w:t>银行</w:t>
      </w:r>
      <w:r>
        <w:rPr>
          <w:w w:val="99"/>
        </w:rPr>
        <w:t>单位名称（</w:t>
      </w:r>
      <w:r>
        <w:rPr>
          <w:spacing w:val="1"/>
          <w:w w:val="99"/>
        </w:rPr>
        <w:t>公章</w:t>
      </w:r>
      <w:r>
        <w:rPr>
          <w:spacing w:val="-161"/>
          <w:w w:val="99"/>
        </w:rPr>
        <w:t>）</w:t>
      </w:r>
      <w:r>
        <w:rPr>
          <w:w w:val="99"/>
        </w:rPr>
        <w:t>：</w:t>
      </w:r>
    </w:p>
    <w:p w14:paraId="55973C43">
      <w:pPr>
        <w:pStyle w:val="4"/>
      </w:pPr>
    </w:p>
    <w:p w14:paraId="18146963">
      <w:pPr>
        <w:pStyle w:val="4"/>
        <w:spacing w:before="5"/>
        <w:rPr>
          <w:sz w:val="33"/>
        </w:rPr>
      </w:pPr>
    </w:p>
    <w:p w14:paraId="75445EF3">
      <w:pPr>
        <w:pStyle w:val="4"/>
        <w:spacing w:before="1" w:line="364" w:lineRule="auto"/>
        <w:ind w:left="1820" w:right="3385"/>
      </w:pPr>
      <w:r>
        <w:rPr>
          <w:rFonts w:hint="eastAsia"/>
          <w:lang w:val="en-US"/>
        </w:rPr>
        <w:t>银行</w:t>
      </w:r>
      <w:r>
        <w:t xml:space="preserve">负责人签字： </w:t>
      </w:r>
    </w:p>
    <w:p w14:paraId="43A7884F">
      <w:pPr>
        <w:pStyle w:val="4"/>
        <w:spacing w:before="1" w:line="364" w:lineRule="auto"/>
        <w:ind w:left="1820" w:right="3385"/>
      </w:pPr>
      <w:r>
        <w:t>被授权人签字：</w:t>
      </w:r>
    </w:p>
    <w:p w14:paraId="23F86831">
      <w:pPr>
        <w:pStyle w:val="4"/>
        <w:spacing w:before="1"/>
        <w:ind w:left="1820"/>
      </w:pPr>
      <w:r>
        <w:t>日期：</w:t>
      </w:r>
    </w:p>
    <w:p w14:paraId="2F54613B">
      <w:pPr>
        <w:pStyle w:val="4"/>
        <w:tabs>
          <w:tab w:val="left" w:pos="3419"/>
        </w:tabs>
        <w:spacing w:before="214" w:line="364" w:lineRule="auto"/>
        <w:ind w:left="1820" w:right="6584"/>
      </w:pPr>
      <w:r>
        <w:t>被授权人姓名</w:t>
      </w:r>
      <w:r>
        <w:rPr>
          <w:spacing w:val="-16"/>
        </w:rPr>
        <w:t xml:space="preserve">： </w:t>
      </w:r>
      <w:r>
        <w:t>职</w:t>
      </w:r>
      <w:r>
        <w:tab/>
      </w:r>
      <w:r>
        <w:rPr>
          <w:w w:val="95"/>
        </w:rPr>
        <w:t>务</w:t>
      </w:r>
      <w:r>
        <w:rPr>
          <w:spacing w:val="-15"/>
          <w:w w:val="95"/>
        </w:rPr>
        <w:t>：</w:t>
      </w:r>
    </w:p>
    <w:p w14:paraId="30DE893C">
      <w:pPr>
        <w:pStyle w:val="4"/>
        <w:tabs>
          <w:tab w:val="left" w:pos="3419"/>
        </w:tabs>
        <w:spacing w:before="2" w:line="364" w:lineRule="auto"/>
        <w:ind w:left="1820" w:right="6584"/>
      </w:pPr>
      <w:r>
        <w:t>身 份 证 号 ： 详细通讯地址</w:t>
      </w:r>
      <w:r>
        <w:rPr>
          <w:spacing w:val="-16"/>
        </w:rPr>
        <w:t xml:space="preserve">： </w:t>
      </w:r>
      <w:r>
        <w:t>电</w:t>
      </w:r>
      <w:r>
        <w:tab/>
      </w:r>
      <w:r>
        <w:rPr>
          <w:w w:val="95"/>
        </w:rPr>
        <w:t>话</w:t>
      </w:r>
      <w:r>
        <w:rPr>
          <w:spacing w:val="-15"/>
          <w:w w:val="95"/>
        </w:rPr>
        <w:t>：</w:t>
      </w:r>
    </w:p>
    <w:p w14:paraId="5AF5423A">
      <w:pPr>
        <w:pStyle w:val="4"/>
        <w:tabs>
          <w:tab w:val="left" w:pos="3419"/>
        </w:tabs>
        <w:spacing w:before="2"/>
        <w:ind w:left="1820"/>
      </w:pPr>
      <w:r>
        <w:t>传</w:t>
      </w:r>
      <w:r>
        <w:tab/>
      </w:r>
      <w:r>
        <w:rPr>
          <w:w w:val="95"/>
        </w:rPr>
        <w:t>真：</w:t>
      </w:r>
    </w:p>
    <w:p w14:paraId="5DE17B95">
      <w:pPr>
        <w:pStyle w:val="3"/>
        <w:spacing w:before="214" w:line="364" w:lineRule="auto"/>
        <w:ind w:left="1180" w:right="1155" w:firstLine="640"/>
      </w:pPr>
      <w:r>
        <w:rPr>
          <w:spacing w:val="-6"/>
          <w:w w:val="95"/>
        </w:rPr>
        <w:t>说明：需附授权人和被授权人身份证复印件，加盖参与</w:t>
      </w:r>
      <w:r>
        <w:rPr>
          <w:spacing w:val="-6"/>
        </w:rPr>
        <w:t>银行公章。</w:t>
      </w:r>
    </w:p>
    <w:p w14:paraId="7B5484DA">
      <w:pPr>
        <w:spacing w:line="364" w:lineRule="auto"/>
        <w:sectPr>
          <w:type w:val="continuous"/>
          <w:pgSz w:w="11910" w:h="16840"/>
          <w:pgMar w:top="1440" w:right="640" w:bottom="1380" w:left="620" w:header="720" w:footer="720" w:gutter="0"/>
          <w:cols w:space="720" w:num="1"/>
        </w:sectPr>
      </w:pPr>
    </w:p>
    <w:p w14:paraId="0DCE188B">
      <w:pPr>
        <w:pStyle w:val="4"/>
        <w:spacing w:before="30"/>
        <w:ind w:left="1180"/>
      </w:pPr>
      <w:r>
        <w:rPr>
          <w:spacing w:val="-27"/>
        </w:rPr>
        <w:t xml:space="preserve">附件 </w:t>
      </w:r>
      <w:r>
        <w:t>4</w:t>
      </w:r>
    </w:p>
    <w:p w14:paraId="2ADDA26E">
      <w:pPr>
        <w:pStyle w:val="4"/>
        <w:spacing w:before="11"/>
        <w:rPr>
          <w:sz w:val="44"/>
        </w:rPr>
      </w:pPr>
      <w:r>
        <w:br w:type="column"/>
      </w:r>
    </w:p>
    <w:p w14:paraId="173CA803">
      <w:pPr>
        <w:pStyle w:val="2"/>
      </w:pPr>
      <w:r>
        <w:t>廉洁承诺书</w:t>
      </w:r>
    </w:p>
    <w:p w14:paraId="7BABD683">
      <w:pPr>
        <w:sectPr>
          <w:pgSz w:w="11910" w:h="16840"/>
          <w:pgMar w:top="1500" w:right="640" w:bottom="1160" w:left="620" w:header="0" w:footer="970" w:gutter="0"/>
          <w:cols w:equalWidth="0" w:num="2">
            <w:col w:w="2100" w:space="953"/>
            <w:col w:w="7597"/>
          </w:cols>
        </w:sectPr>
      </w:pPr>
    </w:p>
    <w:p w14:paraId="369F35FE">
      <w:pPr>
        <w:pStyle w:val="4"/>
        <w:rPr>
          <w:rFonts w:ascii="宋体"/>
          <w:sz w:val="20"/>
        </w:rPr>
      </w:pPr>
    </w:p>
    <w:p w14:paraId="019DA604">
      <w:pPr>
        <w:pStyle w:val="4"/>
        <w:spacing w:before="2"/>
        <w:rPr>
          <w:rFonts w:ascii="宋体"/>
          <w:sz w:val="23"/>
        </w:rPr>
      </w:pPr>
    </w:p>
    <w:p w14:paraId="1012B9CE">
      <w:pPr>
        <w:pStyle w:val="4"/>
        <w:spacing w:before="54"/>
        <w:ind w:left="1180"/>
      </w:pPr>
      <w:r>
        <w:t>致：</w:t>
      </w:r>
    </w:p>
    <w:p w14:paraId="04755A3D">
      <w:pPr>
        <w:pStyle w:val="4"/>
        <w:spacing w:before="214"/>
        <w:ind w:left="1820"/>
      </w:pPr>
      <w:r>
        <w:t>我行按照有关规定，严格执行各项制度及纪律要求，规</w:t>
      </w:r>
    </w:p>
    <w:p w14:paraId="1C24A25F">
      <w:pPr>
        <w:pStyle w:val="4"/>
        <w:spacing w:before="6"/>
        <w:rPr>
          <w:sz w:val="12"/>
        </w:rPr>
      </w:pPr>
    </w:p>
    <w:p w14:paraId="11670226">
      <w:pPr>
        <w:pStyle w:val="4"/>
        <w:spacing w:before="55"/>
        <w:ind w:left="1180"/>
      </w:pPr>
      <w:r>
        <w:t>范参与资金存放项目，现就廉政承诺如下：</w:t>
      </w:r>
    </w:p>
    <w:p w14:paraId="40611FE6">
      <w:pPr>
        <w:pStyle w:val="12"/>
        <w:numPr>
          <w:ilvl w:val="0"/>
          <w:numId w:val="5"/>
        </w:numPr>
        <w:tabs>
          <w:tab w:val="left" w:pos="2143"/>
        </w:tabs>
        <w:ind w:hanging="323"/>
        <w:rPr>
          <w:sz w:val="32"/>
        </w:rPr>
      </w:pPr>
      <w:r>
        <w:rPr>
          <w:sz w:val="32"/>
        </w:rPr>
        <w:t>承诺不向贵单位相关负责人员输送任何利益；</w:t>
      </w:r>
    </w:p>
    <w:p w14:paraId="427A5C4F">
      <w:pPr>
        <w:pStyle w:val="12"/>
        <w:numPr>
          <w:ilvl w:val="0"/>
          <w:numId w:val="5"/>
        </w:numPr>
        <w:tabs>
          <w:tab w:val="left" w:pos="2152"/>
        </w:tabs>
        <w:spacing w:line="364" w:lineRule="auto"/>
        <w:ind w:left="1180" w:right="1160" w:firstLine="640"/>
        <w:rPr>
          <w:sz w:val="32"/>
        </w:rPr>
      </w:pPr>
      <w:r>
        <w:rPr>
          <w:spacing w:val="13"/>
          <w:w w:val="95"/>
          <w:sz w:val="32"/>
        </w:rPr>
        <w:t xml:space="preserve">承诺不将资金存放与贵单位相关负责人员在本行亲 </w:t>
      </w:r>
      <w:r>
        <w:rPr>
          <w:spacing w:val="13"/>
          <w:sz w:val="32"/>
        </w:rPr>
        <w:t>属的业绩、收入挂钩。</w:t>
      </w:r>
    </w:p>
    <w:p w14:paraId="357DB235">
      <w:pPr>
        <w:pStyle w:val="4"/>
        <w:spacing w:before="1"/>
        <w:ind w:left="1820"/>
      </w:pPr>
      <w:r>
        <w:t>特此承诺。</w:t>
      </w:r>
    </w:p>
    <w:p w14:paraId="0261E018">
      <w:pPr>
        <w:pStyle w:val="4"/>
      </w:pPr>
    </w:p>
    <w:p w14:paraId="0F018BAC">
      <w:pPr>
        <w:pStyle w:val="4"/>
      </w:pPr>
    </w:p>
    <w:p w14:paraId="7DEA7705">
      <w:pPr>
        <w:pStyle w:val="4"/>
      </w:pPr>
    </w:p>
    <w:p w14:paraId="0A3DD93D">
      <w:pPr>
        <w:pStyle w:val="4"/>
      </w:pPr>
    </w:p>
    <w:p w14:paraId="375E870F">
      <w:pPr>
        <w:pStyle w:val="4"/>
        <w:spacing w:before="10"/>
        <w:rPr>
          <w:sz w:val="34"/>
        </w:rPr>
      </w:pPr>
    </w:p>
    <w:p w14:paraId="52432BBC">
      <w:pPr>
        <w:pStyle w:val="4"/>
        <w:spacing w:before="1" w:line="364" w:lineRule="auto"/>
        <w:ind w:left="1820" w:right="2585"/>
        <w:rPr>
          <w:spacing w:val="-6"/>
          <w:w w:val="99"/>
        </w:rPr>
      </w:pPr>
      <w:r>
        <w:rPr>
          <w:rFonts w:hint="eastAsia"/>
          <w:w w:val="99"/>
          <w:lang w:val="en-US"/>
        </w:rPr>
        <w:t>银行</w:t>
      </w:r>
      <w:r>
        <w:rPr>
          <w:w w:val="99"/>
        </w:rPr>
        <w:t>单位名称（</w:t>
      </w:r>
      <w:r>
        <w:rPr>
          <w:spacing w:val="1"/>
          <w:w w:val="99"/>
        </w:rPr>
        <w:t>公章</w:t>
      </w:r>
      <w:r>
        <w:rPr>
          <w:spacing w:val="-167"/>
          <w:w w:val="99"/>
        </w:rPr>
        <w:t>）</w:t>
      </w:r>
      <w:r>
        <w:rPr>
          <w:spacing w:val="-6"/>
          <w:w w:val="99"/>
        </w:rPr>
        <w:t>：</w:t>
      </w:r>
    </w:p>
    <w:p w14:paraId="4996967D">
      <w:pPr>
        <w:pStyle w:val="4"/>
        <w:spacing w:before="1" w:line="364" w:lineRule="auto"/>
        <w:ind w:left="1820" w:right="2585"/>
      </w:pPr>
      <w:r>
        <w:t>日期：</w:t>
      </w:r>
    </w:p>
    <w:p w14:paraId="4043C2E7">
      <w:pPr>
        <w:spacing w:line="364" w:lineRule="auto"/>
        <w:sectPr>
          <w:type w:val="continuous"/>
          <w:pgSz w:w="11910" w:h="16840"/>
          <w:pgMar w:top="1440" w:right="640" w:bottom="1380" w:left="620" w:header="720" w:footer="720" w:gutter="0"/>
          <w:cols w:space="720" w:num="1"/>
        </w:sectPr>
      </w:pPr>
    </w:p>
    <w:p w14:paraId="2650B83C">
      <w:pPr>
        <w:pStyle w:val="4"/>
        <w:spacing w:before="30"/>
        <w:ind w:left="1180"/>
      </w:pPr>
      <w:r>
        <w:rPr>
          <w:spacing w:val="-27"/>
        </w:rPr>
        <w:t xml:space="preserve">附件 </w:t>
      </w:r>
      <w:r>
        <w:rPr>
          <w:spacing w:val="-19"/>
        </w:rPr>
        <w:t>5</w:t>
      </w:r>
    </w:p>
    <w:p w14:paraId="768440C1">
      <w:pPr>
        <w:pStyle w:val="4"/>
        <w:spacing w:before="11"/>
        <w:rPr>
          <w:sz w:val="44"/>
        </w:rPr>
      </w:pPr>
      <w:r>
        <w:br w:type="column"/>
      </w:r>
    </w:p>
    <w:p w14:paraId="687CF603">
      <w:pPr>
        <w:pStyle w:val="2"/>
      </w:pPr>
      <w:r>
        <w:rPr>
          <w:rFonts w:hint="eastAsia"/>
          <w:lang w:val="en-US"/>
        </w:rPr>
        <w:t>202</w:t>
      </w:r>
      <w:r>
        <w:rPr>
          <w:rFonts w:hint="eastAsia"/>
          <w:lang w:val="en-US" w:eastAsia="zh-CN"/>
        </w:rPr>
        <w:t>5</w:t>
      </w:r>
      <w:r>
        <w:t>年银行经营状况</w:t>
      </w:r>
    </w:p>
    <w:p w14:paraId="4EF4FEF0">
      <w:pPr>
        <w:sectPr>
          <w:pgSz w:w="11910" w:h="16840"/>
          <w:pgMar w:top="1500" w:right="640" w:bottom="1160" w:left="620" w:header="0" w:footer="970" w:gutter="0"/>
          <w:cols w:equalWidth="0" w:num="2">
            <w:col w:w="2060" w:space="57"/>
            <w:col w:w="8533"/>
          </w:cols>
        </w:sectPr>
      </w:pPr>
    </w:p>
    <w:p w14:paraId="2F365B77">
      <w:pPr>
        <w:pStyle w:val="4"/>
        <w:rPr>
          <w:rFonts w:ascii="宋体"/>
          <w:sz w:val="20"/>
        </w:rPr>
      </w:pPr>
    </w:p>
    <w:p w14:paraId="08BB8842">
      <w:pPr>
        <w:pStyle w:val="4"/>
        <w:rPr>
          <w:rFonts w:ascii="宋体"/>
          <w:sz w:val="20"/>
        </w:rPr>
      </w:pPr>
    </w:p>
    <w:p w14:paraId="46091B8F">
      <w:pPr>
        <w:pStyle w:val="4"/>
        <w:spacing w:before="4"/>
        <w:rPr>
          <w:rFonts w:ascii="宋体"/>
          <w:sz w:val="15"/>
        </w:rPr>
      </w:pPr>
    </w:p>
    <w:p w14:paraId="49B94FAE">
      <w:pPr>
        <w:pStyle w:val="4"/>
        <w:spacing w:before="55"/>
        <w:ind w:left="1820"/>
        <w:jc w:val="both"/>
      </w:pPr>
      <w:r>
        <w:t>我行承诺向贵单位提供的</w:t>
      </w:r>
      <w:r>
        <w:rPr>
          <w:rFonts w:hint="eastAsia"/>
          <w:lang w:val="en-US"/>
        </w:rPr>
        <w:t>202</w:t>
      </w:r>
      <w:r>
        <w:rPr>
          <w:rFonts w:hint="eastAsia"/>
          <w:lang w:val="en-US" w:eastAsia="zh-CN"/>
        </w:rPr>
        <w:t>5</w:t>
      </w:r>
      <w:r>
        <w:t>年银行经营状况指标均</w:t>
      </w:r>
    </w:p>
    <w:p w14:paraId="01D525E0">
      <w:pPr>
        <w:pStyle w:val="4"/>
        <w:spacing w:before="214" w:line="364" w:lineRule="auto"/>
        <w:ind w:left="1180" w:right="1115"/>
        <w:jc w:val="both"/>
      </w:pPr>
      <w:r>
        <w:rPr>
          <w:lang w:val="en-US" w:bidi="ar-SA"/>
        </w:rPr>
        <mc:AlternateContent>
          <mc:Choice Requires="wps">
            <w:drawing>
              <wp:anchor distT="0" distB="0" distL="114300" distR="114300" simplePos="0" relativeHeight="251662336" behindDoc="0" locked="0" layoutInCell="1" allowOverlap="1">
                <wp:simplePos x="0" y="0"/>
                <wp:positionH relativeFrom="page">
                  <wp:posOffset>958215</wp:posOffset>
                </wp:positionH>
                <wp:positionV relativeFrom="paragraph">
                  <wp:posOffset>859155</wp:posOffset>
                </wp:positionV>
                <wp:extent cx="5662930" cy="396557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662930" cy="3965575"/>
                        </a:xfrm>
                        <a:prstGeom prst="rect">
                          <a:avLst/>
                        </a:prstGeom>
                        <a:noFill/>
                        <a:ln>
                          <a:noFill/>
                        </a:ln>
                      </wps:spPr>
                      <wps:txbx>
                        <w:txbxContent>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0"/>
                              <w:gridCol w:w="2841"/>
                              <w:gridCol w:w="2841"/>
                            </w:tblGrid>
                            <w:tr w14:paraId="51FA4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840" w:type="dxa"/>
                                  <w:tcBorders>
                                    <w:bottom w:val="single" w:color="000000" w:sz="4" w:space="0"/>
                                  </w:tcBorders>
                                </w:tcPr>
                                <w:p w14:paraId="2A35FE4E">
                                  <w:pPr>
                                    <w:pStyle w:val="13"/>
                                    <w:spacing w:before="108"/>
                                    <w:ind w:left="436" w:right="430"/>
                                    <w:jc w:val="center"/>
                                    <w:rPr>
                                      <w:sz w:val="32"/>
                                    </w:rPr>
                                  </w:pPr>
                                  <w:r>
                                    <w:rPr>
                                      <w:sz w:val="32"/>
                                    </w:rPr>
                                    <w:t>类别</w:t>
                                  </w:r>
                                </w:p>
                              </w:tc>
                              <w:tc>
                                <w:tcPr>
                                  <w:tcW w:w="2841" w:type="dxa"/>
                                  <w:tcBorders>
                                    <w:bottom w:val="single" w:color="000000" w:sz="4" w:space="0"/>
                                  </w:tcBorders>
                                </w:tcPr>
                                <w:p w14:paraId="6AF83BA7">
                                  <w:pPr>
                                    <w:pStyle w:val="13"/>
                                    <w:spacing w:before="108"/>
                                    <w:ind w:left="596" w:right="591"/>
                                    <w:jc w:val="center"/>
                                    <w:rPr>
                                      <w:sz w:val="32"/>
                                    </w:rPr>
                                  </w:pPr>
                                  <w:r>
                                    <w:rPr>
                                      <w:sz w:val="32"/>
                                    </w:rPr>
                                    <w:t>指标名称</w:t>
                                  </w:r>
                                </w:p>
                              </w:tc>
                              <w:tc>
                                <w:tcPr>
                                  <w:tcW w:w="2841" w:type="dxa"/>
                                  <w:tcBorders>
                                    <w:bottom w:val="single" w:color="000000" w:sz="4" w:space="0"/>
                                  </w:tcBorders>
                                </w:tcPr>
                                <w:p w14:paraId="6818EF69">
                                  <w:pPr>
                                    <w:pStyle w:val="13"/>
                                    <w:spacing w:before="108"/>
                                    <w:ind w:left="595" w:right="591"/>
                                    <w:jc w:val="center"/>
                                    <w:rPr>
                                      <w:sz w:val="32"/>
                                    </w:rPr>
                                  </w:pPr>
                                  <w:r>
                                    <w:rPr>
                                      <w:sz w:val="32"/>
                                    </w:rPr>
                                    <w:t>指标</w:t>
                                  </w:r>
                                </w:p>
                              </w:tc>
                            </w:tr>
                            <w:tr w14:paraId="641F1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840" w:type="dxa"/>
                                  <w:vMerge w:val="restart"/>
                                  <w:tcBorders>
                                    <w:top w:val="single" w:color="000000" w:sz="4" w:space="0"/>
                                    <w:bottom w:val="single" w:color="000000" w:sz="4" w:space="0"/>
                                  </w:tcBorders>
                                </w:tcPr>
                                <w:p w14:paraId="23F8907B">
                                  <w:pPr>
                                    <w:pStyle w:val="13"/>
                                    <w:rPr>
                                      <w:sz w:val="32"/>
                                    </w:rPr>
                                  </w:pPr>
                                </w:p>
                                <w:p w14:paraId="6B87ECC7">
                                  <w:pPr>
                                    <w:pStyle w:val="13"/>
                                    <w:rPr>
                                      <w:sz w:val="32"/>
                                    </w:rPr>
                                  </w:pPr>
                                </w:p>
                                <w:p w14:paraId="135B5B0E">
                                  <w:pPr>
                                    <w:pStyle w:val="13"/>
                                    <w:spacing w:before="10"/>
                                    <w:rPr>
                                      <w:sz w:val="41"/>
                                    </w:rPr>
                                  </w:pPr>
                                </w:p>
                                <w:p w14:paraId="59B0FBDF">
                                  <w:pPr>
                                    <w:pStyle w:val="13"/>
                                    <w:ind w:left="779"/>
                                    <w:rPr>
                                      <w:sz w:val="32"/>
                                    </w:rPr>
                                  </w:pPr>
                                  <w:r>
                                    <w:rPr>
                                      <w:sz w:val="32"/>
                                    </w:rPr>
                                    <w:t>经营情况</w:t>
                                  </w:r>
                                </w:p>
                              </w:tc>
                              <w:tc>
                                <w:tcPr>
                                  <w:tcW w:w="2841" w:type="dxa"/>
                                  <w:tcBorders>
                                    <w:top w:val="single" w:color="000000" w:sz="4" w:space="0"/>
                                    <w:bottom w:val="single" w:color="000000" w:sz="4" w:space="0"/>
                                  </w:tcBorders>
                                </w:tcPr>
                                <w:p w14:paraId="78508E02">
                                  <w:pPr>
                                    <w:pStyle w:val="13"/>
                                    <w:spacing w:before="107"/>
                                    <w:ind w:left="599" w:right="591"/>
                                    <w:jc w:val="center"/>
                                    <w:rPr>
                                      <w:sz w:val="32"/>
                                    </w:rPr>
                                  </w:pPr>
                                  <w:r>
                                    <w:rPr>
                                      <w:sz w:val="32"/>
                                    </w:rPr>
                                    <w:t>净资产总额</w:t>
                                  </w:r>
                                </w:p>
                              </w:tc>
                              <w:tc>
                                <w:tcPr>
                                  <w:tcW w:w="2841" w:type="dxa"/>
                                  <w:tcBorders>
                                    <w:top w:val="single" w:color="000000" w:sz="4" w:space="0"/>
                                    <w:bottom w:val="single" w:color="000000" w:sz="4" w:space="0"/>
                                  </w:tcBorders>
                                </w:tcPr>
                                <w:p w14:paraId="0393D5AA">
                                  <w:pPr>
                                    <w:pStyle w:val="13"/>
                                    <w:spacing w:before="107"/>
                                    <w:ind w:right="98"/>
                                    <w:jc w:val="right"/>
                                    <w:rPr>
                                      <w:sz w:val="32"/>
                                    </w:rPr>
                                  </w:pPr>
                                  <w:r>
                                    <w:rPr>
                                      <w:w w:val="95"/>
                                      <w:sz w:val="32"/>
                                    </w:rPr>
                                    <w:t>亿元</w:t>
                                  </w:r>
                                </w:p>
                              </w:tc>
                            </w:tr>
                            <w:tr w14:paraId="5D4B7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840" w:type="dxa"/>
                                  <w:vMerge w:val="continue"/>
                                  <w:tcBorders>
                                    <w:top w:val="single" w:color="000000" w:sz="4" w:space="0"/>
                                    <w:bottom w:val="single" w:color="000000" w:sz="4" w:space="0"/>
                                  </w:tcBorders>
                                </w:tcPr>
                                <w:p w14:paraId="7F285B0B">
                                  <w:pPr>
                                    <w:rPr>
                                      <w:sz w:val="2"/>
                                      <w:szCs w:val="2"/>
                                    </w:rPr>
                                  </w:pPr>
                                </w:p>
                              </w:tc>
                              <w:tc>
                                <w:tcPr>
                                  <w:tcW w:w="2841" w:type="dxa"/>
                                  <w:tcBorders>
                                    <w:top w:val="single" w:color="000000" w:sz="4" w:space="0"/>
                                    <w:bottom w:val="single" w:color="000000" w:sz="4" w:space="0"/>
                                  </w:tcBorders>
                                </w:tcPr>
                                <w:p w14:paraId="7EE01AF7">
                                  <w:pPr>
                                    <w:pStyle w:val="13"/>
                                    <w:spacing w:before="107"/>
                                    <w:ind w:left="599" w:right="591"/>
                                    <w:jc w:val="center"/>
                                    <w:rPr>
                                      <w:sz w:val="32"/>
                                    </w:rPr>
                                  </w:pPr>
                                  <w:r>
                                    <w:rPr>
                                      <w:sz w:val="32"/>
                                    </w:rPr>
                                    <w:t>资本充足率</w:t>
                                  </w:r>
                                </w:p>
                              </w:tc>
                              <w:tc>
                                <w:tcPr>
                                  <w:tcW w:w="2841" w:type="dxa"/>
                                  <w:tcBorders>
                                    <w:top w:val="single" w:color="000000" w:sz="4" w:space="0"/>
                                    <w:bottom w:val="single" w:color="000000" w:sz="4" w:space="0"/>
                                  </w:tcBorders>
                                </w:tcPr>
                                <w:p w14:paraId="3EC47830">
                                  <w:pPr>
                                    <w:pStyle w:val="13"/>
                                    <w:spacing w:before="107"/>
                                    <w:ind w:right="97"/>
                                    <w:jc w:val="right"/>
                                    <w:rPr>
                                      <w:sz w:val="32"/>
                                    </w:rPr>
                                  </w:pPr>
                                  <w:r>
                                    <w:rPr>
                                      <w:w w:val="99"/>
                                      <w:sz w:val="32"/>
                                    </w:rPr>
                                    <w:t>%</w:t>
                                  </w:r>
                                </w:p>
                              </w:tc>
                            </w:tr>
                            <w:tr w14:paraId="007E1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840" w:type="dxa"/>
                                  <w:vMerge w:val="continue"/>
                                  <w:tcBorders>
                                    <w:top w:val="single" w:color="000000" w:sz="4" w:space="0"/>
                                    <w:bottom w:val="single" w:color="000000" w:sz="4" w:space="0"/>
                                  </w:tcBorders>
                                </w:tcPr>
                                <w:p w14:paraId="7A6EF2A0">
                                  <w:pPr>
                                    <w:rPr>
                                      <w:sz w:val="2"/>
                                      <w:szCs w:val="2"/>
                                    </w:rPr>
                                  </w:pPr>
                                </w:p>
                              </w:tc>
                              <w:tc>
                                <w:tcPr>
                                  <w:tcW w:w="2841" w:type="dxa"/>
                                  <w:tcBorders>
                                    <w:top w:val="single" w:color="000000" w:sz="4" w:space="0"/>
                                    <w:bottom w:val="single" w:color="000000" w:sz="4" w:space="0"/>
                                  </w:tcBorders>
                                </w:tcPr>
                                <w:p w14:paraId="234708F8">
                                  <w:pPr>
                                    <w:pStyle w:val="13"/>
                                    <w:spacing w:before="109"/>
                                    <w:ind w:left="599" w:right="591"/>
                                    <w:jc w:val="center"/>
                                    <w:rPr>
                                      <w:sz w:val="32"/>
                                    </w:rPr>
                                  </w:pPr>
                                  <w:r>
                                    <w:rPr>
                                      <w:sz w:val="32"/>
                                    </w:rPr>
                                    <w:t>不良贷款率</w:t>
                                  </w:r>
                                </w:p>
                              </w:tc>
                              <w:tc>
                                <w:tcPr>
                                  <w:tcW w:w="2841" w:type="dxa"/>
                                  <w:tcBorders>
                                    <w:top w:val="single" w:color="000000" w:sz="4" w:space="0"/>
                                    <w:bottom w:val="single" w:color="000000" w:sz="4" w:space="0"/>
                                  </w:tcBorders>
                                </w:tcPr>
                                <w:p w14:paraId="28B316C6">
                                  <w:pPr>
                                    <w:pStyle w:val="13"/>
                                    <w:spacing w:before="109"/>
                                    <w:ind w:right="97"/>
                                    <w:jc w:val="right"/>
                                    <w:rPr>
                                      <w:sz w:val="32"/>
                                    </w:rPr>
                                  </w:pPr>
                                  <w:r>
                                    <w:rPr>
                                      <w:w w:val="99"/>
                                      <w:sz w:val="32"/>
                                    </w:rPr>
                                    <w:t>%</w:t>
                                  </w:r>
                                </w:p>
                              </w:tc>
                            </w:tr>
                            <w:tr w14:paraId="044E3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840" w:type="dxa"/>
                                  <w:vMerge w:val="continue"/>
                                  <w:tcBorders>
                                    <w:top w:val="single" w:color="000000" w:sz="4" w:space="0"/>
                                    <w:bottom w:val="single" w:color="000000" w:sz="4" w:space="0"/>
                                  </w:tcBorders>
                                </w:tcPr>
                                <w:p w14:paraId="35F7BF32">
                                  <w:pPr>
                                    <w:rPr>
                                      <w:sz w:val="2"/>
                                      <w:szCs w:val="2"/>
                                    </w:rPr>
                                  </w:pPr>
                                </w:p>
                              </w:tc>
                              <w:tc>
                                <w:tcPr>
                                  <w:tcW w:w="2841" w:type="dxa"/>
                                  <w:tcBorders>
                                    <w:top w:val="single" w:color="000000" w:sz="4" w:space="0"/>
                                    <w:bottom w:val="single" w:color="000000" w:sz="4" w:space="0"/>
                                  </w:tcBorders>
                                </w:tcPr>
                                <w:p w14:paraId="17D573FF">
                                  <w:pPr>
                                    <w:pStyle w:val="13"/>
                                    <w:spacing w:before="108"/>
                                    <w:ind w:left="599" w:right="591"/>
                                    <w:jc w:val="center"/>
                                    <w:rPr>
                                      <w:sz w:val="32"/>
                                    </w:rPr>
                                  </w:pPr>
                                  <w:r>
                                    <w:rPr>
                                      <w:sz w:val="32"/>
                                    </w:rPr>
                                    <w:t>资产利润率</w:t>
                                  </w:r>
                                </w:p>
                              </w:tc>
                              <w:tc>
                                <w:tcPr>
                                  <w:tcW w:w="2841" w:type="dxa"/>
                                  <w:tcBorders>
                                    <w:top w:val="single" w:color="000000" w:sz="4" w:space="0"/>
                                    <w:bottom w:val="single" w:color="000000" w:sz="4" w:space="0"/>
                                  </w:tcBorders>
                                </w:tcPr>
                                <w:p w14:paraId="6E98BBD7">
                                  <w:pPr>
                                    <w:pStyle w:val="13"/>
                                    <w:spacing w:before="108"/>
                                    <w:ind w:right="97"/>
                                    <w:jc w:val="right"/>
                                    <w:rPr>
                                      <w:sz w:val="32"/>
                                    </w:rPr>
                                  </w:pPr>
                                  <w:r>
                                    <w:rPr>
                                      <w:w w:val="99"/>
                                      <w:sz w:val="32"/>
                                    </w:rPr>
                                    <w:t>%</w:t>
                                  </w:r>
                                </w:p>
                              </w:tc>
                            </w:tr>
                            <w:tr w14:paraId="39488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840" w:type="dxa"/>
                                  <w:vMerge w:val="continue"/>
                                  <w:tcBorders>
                                    <w:top w:val="single" w:color="000000" w:sz="4" w:space="0"/>
                                    <w:bottom w:val="single" w:color="000000" w:sz="4" w:space="0"/>
                                  </w:tcBorders>
                                </w:tcPr>
                                <w:p w14:paraId="6AAAB043">
                                  <w:pPr>
                                    <w:rPr>
                                      <w:sz w:val="2"/>
                                      <w:szCs w:val="2"/>
                                    </w:rPr>
                                  </w:pPr>
                                </w:p>
                              </w:tc>
                              <w:tc>
                                <w:tcPr>
                                  <w:tcW w:w="2841" w:type="dxa"/>
                                  <w:tcBorders>
                                    <w:top w:val="single" w:color="000000" w:sz="4" w:space="0"/>
                                    <w:bottom w:val="single" w:color="000000" w:sz="4" w:space="0"/>
                                  </w:tcBorders>
                                </w:tcPr>
                                <w:p w14:paraId="3DB27949">
                                  <w:pPr>
                                    <w:pStyle w:val="13"/>
                                    <w:spacing w:before="108"/>
                                    <w:ind w:left="599" w:right="591"/>
                                    <w:jc w:val="center"/>
                                    <w:rPr>
                                      <w:sz w:val="32"/>
                                    </w:rPr>
                                  </w:pPr>
                                  <w:r>
                                    <w:rPr>
                                      <w:sz w:val="32"/>
                                    </w:rPr>
                                    <w:t>流动性比率</w:t>
                                  </w:r>
                                </w:p>
                              </w:tc>
                              <w:tc>
                                <w:tcPr>
                                  <w:tcW w:w="2841" w:type="dxa"/>
                                  <w:tcBorders>
                                    <w:top w:val="single" w:color="000000" w:sz="4" w:space="0"/>
                                    <w:bottom w:val="single" w:color="000000" w:sz="4" w:space="0"/>
                                  </w:tcBorders>
                                </w:tcPr>
                                <w:p w14:paraId="77172FC5">
                                  <w:pPr>
                                    <w:pStyle w:val="13"/>
                                    <w:spacing w:before="108"/>
                                    <w:ind w:right="97"/>
                                    <w:jc w:val="right"/>
                                    <w:rPr>
                                      <w:sz w:val="32"/>
                                    </w:rPr>
                                  </w:pPr>
                                  <w:r>
                                    <w:rPr>
                                      <w:w w:val="99"/>
                                      <w:sz w:val="32"/>
                                    </w:rPr>
                                    <w:t>%</w:t>
                                  </w:r>
                                </w:p>
                              </w:tc>
                            </w:tr>
                            <w:tr w14:paraId="08AAB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2840" w:type="dxa"/>
                                  <w:tcBorders>
                                    <w:top w:val="single" w:color="000000" w:sz="4" w:space="0"/>
                                  </w:tcBorders>
                                </w:tcPr>
                                <w:p w14:paraId="2655A340">
                                  <w:pPr>
                                    <w:pStyle w:val="13"/>
                                    <w:spacing w:before="10"/>
                                    <w:rPr>
                                      <w:sz w:val="32"/>
                                    </w:rPr>
                                  </w:pPr>
                                </w:p>
                                <w:p w14:paraId="42BE5BD5">
                                  <w:pPr>
                                    <w:pStyle w:val="13"/>
                                    <w:ind w:left="440" w:right="430"/>
                                    <w:jc w:val="center"/>
                                    <w:rPr>
                                      <w:sz w:val="32"/>
                                    </w:rPr>
                                  </w:pPr>
                                  <w:r>
                                    <w:rPr>
                                      <w:sz w:val="32"/>
                                    </w:rPr>
                                    <w:t>内部控制水平</w:t>
                                  </w:r>
                                </w:p>
                              </w:tc>
                              <w:tc>
                                <w:tcPr>
                                  <w:tcW w:w="5682" w:type="dxa"/>
                                  <w:gridSpan w:val="2"/>
                                  <w:tcBorders>
                                    <w:top w:val="single" w:color="000000" w:sz="4" w:space="0"/>
                                  </w:tcBorders>
                                </w:tcPr>
                                <w:p w14:paraId="519C3704">
                                  <w:pPr>
                                    <w:pStyle w:val="13"/>
                                    <w:spacing w:before="108"/>
                                    <w:ind w:left="106"/>
                                    <w:rPr>
                                      <w:sz w:val="32"/>
                                    </w:rPr>
                                  </w:pPr>
                                  <w:r>
                                    <w:rPr>
                                      <w:sz w:val="32"/>
                                    </w:rPr>
                                    <w:t>请填写</w:t>
                                  </w:r>
                                  <w:r>
                                    <w:rPr>
                                      <w:rFonts w:hint="eastAsia"/>
                                      <w:sz w:val="32"/>
                                      <w:lang w:val="en-US"/>
                                    </w:rPr>
                                    <w:t>202</w:t>
                                  </w:r>
                                  <w:r>
                                    <w:rPr>
                                      <w:rFonts w:hint="eastAsia"/>
                                      <w:sz w:val="32"/>
                                      <w:lang w:val="en-US" w:eastAsia="zh-CN"/>
                                    </w:rPr>
                                    <w:t>5</w:t>
                                  </w:r>
                                  <w:r>
                                    <w:rPr>
                                      <w:sz w:val="32"/>
                                    </w:rPr>
                                    <w:t>年度注册会计师发表内控</w:t>
                                  </w:r>
                                </w:p>
                                <w:p w14:paraId="6CA92F13">
                                  <w:pPr>
                                    <w:pStyle w:val="13"/>
                                    <w:spacing w:before="214"/>
                                    <w:ind w:left="106"/>
                                    <w:rPr>
                                      <w:sz w:val="32"/>
                                    </w:rPr>
                                  </w:pPr>
                                  <w:r>
                                    <w:rPr>
                                      <w:sz w:val="32"/>
                                    </w:rPr>
                                    <w:t>审计报告的审计意见</w:t>
                                  </w:r>
                                </w:p>
                              </w:tc>
                            </w:tr>
                          </w:tbl>
                          <w:p w14:paraId="2058F555">
                            <w:pPr>
                              <w:pStyle w:val="4"/>
                            </w:pPr>
                          </w:p>
                        </w:txbxContent>
                      </wps:txbx>
                      <wps:bodyPr lIns="0" tIns="0" rIns="0" bIns="0" upright="1"/>
                    </wps:wsp>
                  </a:graphicData>
                </a:graphic>
              </wp:anchor>
            </w:drawing>
          </mc:Choice>
          <mc:Fallback>
            <w:pict>
              <v:shape id="文本框 2" o:spid="_x0000_s1026" o:spt="202" type="#_x0000_t202" style="position:absolute;left:0pt;margin-left:75.45pt;margin-top:67.65pt;height:312.25pt;width:445.9pt;mso-position-horizontal-relative:page;z-index:251662336;mso-width-relative:page;mso-height-relative:page;" filled="f" stroked="f" coordsize="21600,21600" o:gfxdata="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r4BTLNsAAAAMAQAADwAAAAAAAAABACAAAAAiAAAAZHJzL2Rvd25yZXYueG1s&#10;UEsBAhQAFAAAAAgAh07iQBY7KwC8AQAAcwMAAA4AAAAAAAAAAQAgAAAAKgEAAGRycy9lMm9Eb2Mu&#10;eG1sUEsFBgAAAAAGAAYAWQEAAFgFAAAAAA==&#10;">
                <v:fill on="f" focussize="0,0"/>
                <v:stroke on="f"/>
                <v:imagedata o:title=""/>
                <o:lock v:ext="edit" aspectratio="f"/>
                <v:textbox inset="0mm,0mm,0mm,0mm">
                  <w:txbxContent>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0"/>
                        <w:gridCol w:w="2841"/>
                        <w:gridCol w:w="2841"/>
                      </w:tblGrid>
                      <w:tr w14:paraId="51FA4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840" w:type="dxa"/>
                            <w:tcBorders>
                              <w:bottom w:val="single" w:color="000000" w:sz="4" w:space="0"/>
                            </w:tcBorders>
                          </w:tcPr>
                          <w:p w14:paraId="2A35FE4E">
                            <w:pPr>
                              <w:pStyle w:val="13"/>
                              <w:spacing w:before="108"/>
                              <w:ind w:left="436" w:right="430"/>
                              <w:jc w:val="center"/>
                              <w:rPr>
                                <w:sz w:val="32"/>
                              </w:rPr>
                            </w:pPr>
                            <w:r>
                              <w:rPr>
                                <w:sz w:val="32"/>
                              </w:rPr>
                              <w:t>类别</w:t>
                            </w:r>
                          </w:p>
                        </w:tc>
                        <w:tc>
                          <w:tcPr>
                            <w:tcW w:w="2841" w:type="dxa"/>
                            <w:tcBorders>
                              <w:bottom w:val="single" w:color="000000" w:sz="4" w:space="0"/>
                            </w:tcBorders>
                          </w:tcPr>
                          <w:p w14:paraId="6AF83BA7">
                            <w:pPr>
                              <w:pStyle w:val="13"/>
                              <w:spacing w:before="108"/>
                              <w:ind w:left="596" w:right="591"/>
                              <w:jc w:val="center"/>
                              <w:rPr>
                                <w:sz w:val="32"/>
                              </w:rPr>
                            </w:pPr>
                            <w:r>
                              <w:rPr>
                                <w:sz w:val="32"/>
                              </w:rPr>
                              <w:t>指标名称</w:t>
                            </w:r>
                          </w:p>
                        </w:tc>
                        <w:tc>
                          <w:tcPr>
                            <w:tcW w:w="2841" w:type="dxa"/>
                            <w:tcBorders>
                              <w:bottom w:val="single" w:color="000000" w:sz="4" w:space="0"/>
                            </w:tcBorders>
                          </w:tcPr>
                          <w:p w14:paraId="6818EF69">
                            <w:pPr>
                              <w:pStyle w:val="13"/>
                              <w:spacing w:before="108"/>
                              <w:ind w:left="595" w:right="591"/>
                              <w:jc w:val="center"/>
                              <w:rPr>
                                <w:sz w:val="32"/>
                              </w:rPr>
                            </w:pPr>
                            <w:r>
                              <w:rPr>
                                <w:sz w:val="32"/>
                              </w:rPr>
                              <w:t>指标</w:t>
                            </w:r>
                          </w:p>
                        </w:tc>
                      </w:tr>
                      <w:tr w14:paraId="641F1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840" w:type="dxa"/>
                            <w:vMerge w:val="restart"/>
                            <w:tcBorders>
                              <w:top w:val="single" w:color="000000" w:sz="4" w:space="0"/>
                              <w:bottom w:val="single" w:color="000000" w:sz="4" w:space="0"/>
                            </w:tcBorders>
                          </w:tcPr>
                          <w:p w14:paraId="23F8907B">
                            <w:pPr>
                              <w:pStyle w:val="13"/>
                              <w:rPr>
                                <w:sz w:val="32"/>
                              </w:rPr>
                            </w:pPr>
                          </w:p>
                          <w:p w14:paraId="6B87ECC7">
                            <w:pPr>
                              <w:pStyle w:val="13"/>
                              <w:rPr>
                                <w:sz w:val="32"/>
                              </w:rPr>
                            </w:pPr>
                          </w:p>
                          <w:p w14:paraId="135B5B0E">
                            <w:pPr>
                              <w:pStyle w:val="13"/>
                              <w:spacing w:before="10"/>
                              <w:rPr>
                                <w:sz w:val="41"/>
                              </w:rPr>
                            </w:pPr>
                          </w:p>
                          <w:p w14:paraId="59B0FBDF">
                            <w:pPr>
                              <w:pStyle w:val="13"/>
                              <w:ind w:left="779"/>
                              <w:rPr>
                                <w:sz w:val="32"/>
                              </w:rPr>
                            </w:pPr>
                            <w:r>
                              <w:rPr>
                                <w:sz w:val="32"/>
                              </w:rPr>
                              <w:t>经营情况</w:t>
                            </w:r>
                          </w:p>
                        </w:tc>
                        <w:tc>
                          <w:tcPr>
                            <w:tcW w:w="2841" w:type="dxa"/>
                            <w:tcBorders>
                              <w:top w:val="single" w:color="000000" w:sz="4" w:space="0"/>
                              <w:bottom w:val="single" w:color="000000" w:sz="4" w:space="0"/>
                            </w:tcBorders>
                          </w:tcPr>
                          <w:p w14:paraId="78508E02">
                            <w:pPr>
                              <w:pStyle w:val="13"/>
                              <w:spacing w:before="107"/>
                              <w:ind w:left="599" w:right="591"/>
                              <w:jc w:val="center"/>
                              <w:rPr>
                                <w:sz w:val="32"/>
                              </w:rPr>
                            </w:pPr>
                            <w:r>
                              <w:rPr>
                                <w:sz w:val="32"/>
                              </w:rPr>
                              <w:t>净资产总额</w:t>
                            </w:r>
                          </w:p>
                        </w:tc>
                        <w:tc>
                          <w:tcPr>
                            <w:tcW w:w="2841" w:type="dxa"/>
                            <w:tcBorders>
                              <w:top w:val="single" w:color="000000" w:sz="4" w:space="0"/>
                              <w:bottom w:val="single" w:color="000000" w:sz="4" w:space="0"/>
                            </w:tcBorders>
                          </w:tcPr>
                          <w:p w14:paraId="0393D5AA">
                            <w:pPr>
                              <w:pStyle w:val="13"/>
                              <w:spacing w:before="107"/>
                              <w:ind w:right="98"/>
                              <w:jc w:val="right"/>
                              <w:rPr>
                                <w:sz w:val="32"/>
                              </w:rPr>
                            </w:pPr>
                            <w:r>
                              <w:rPr>
                                <w:w w:val="95"/>
                                <w:sz w:val="32"/>
                              </w:rPr>
                              <w:t>亿元</w:t>
                            </w:r>
                          </w:p>
                        </w:tc>
                      </w:tr>
                      <w:tr w14:paraId="5D4B7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840" w:type="dxa"/>
                            <w:vMerge w:val="continue"/>
                            <w:tcBorders>
                              <w:top w:val="single" w:color="000000" w:sz="4" w:space="0"/>
                              <w:bottom w:val="single" w:color="000000" w:sz="4" w:space="0"/>
                            </w:tcBorders>
                          </w:tcPr>
                          <w:p w14:paraId="7F285B0B">
                            <w:pPr>
                              <w:rPr>
                                <w:sz w:val="2"/>
                                <w:szCs w:val="2"/>
                              </w:rPr>
                            </w:pPr>
                          </w:p>
                        </w:tc>
                        <w:tc>
                          <w:tcPr>
                            <w:tcW w:w="2841" w:type="dxa"/>
                            <w:tcBorders>
                              <w:top w:val="single" w:color="000000" w:sz="4" w:space="0"/>
                              <w:bottom w:val="single" w:color="000000" w:sz="4" w:space="0"/>
                            </w:tcBorders>
                          </w:tcPr>
                          <w:p w14:paraId="7EE01AF7">
                            <w:pPr>
                              <w:pStyle w:val="13"/>
                              <w:spacing w:before="107"/>
                              <w:ind w:left="599" w:right="591"/>
                              <w:jc w:val="center"/>
                              <w:rPr>
                                <w:sz w:val="32"/>
                              </w:rPr>
                            </w:pPr>
                            <w:r>
                              <w:rPr>
                                <w:sz w:val="32"/>
                              </w:rPr>
                              <w:t>资本充足率</w:t>
                            </w:r>
                          </w:p>
                        </w:tc>
                        <w:tc>
                          <w:tcPr>
                            <w:tcW w:w="2841" w:type="dxa"/>
                            <w:tcBorders>
                              <w:top w:val="single" w:color="000000" w:sz="4" w:space="0"/>
                              <w:bottom w:val="single" w:color="000000" w:sz="4" w:space="0"/>
                            </w:tcBorders>
                          </w:tcPr>
                          <w:p w14:paraId="3EC47830">
                            <w:pPr>
                              <w:pStyle w:val="13"/>
                              <w:spacing w:before="107"/>
                              <w:ind w:right="97"/>
                              <w:jc w:val="right"/>
                              <w:rPr>
                                <w:sz w:val="32"/>
                              </w:rPr>
                            </w:pPr>
                            <w:r>
                              <w:rPr>
                                <w:w w:val="99"/>
                                <w:sz w:val="32"/>
                              </w:rPr>
                              <w:t>%</w:t>
                            </w:r>
                          </w:p>
                        </w:tc>
                      </w:tr>
                      <w:tr w14:paraId="007E1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840" w:type="dxa"/>
                            <w:vMerge w:val="continue"/>
                            <w:tcBorders>
                              <w:top w:val="single" w:color="000000" w:sz="4" w:space="0"/>
                              <w:bottom w:val="single" w:color="000000" w:sz="4" w:space="0"/>
                            </w:tcBorders>
                          </w:tcPr>
                          <w:p w14:paraId="7A6EF2A0">
                            <w:pPr>
                              <w:rPr>
                                <w:sz w:val="2"/>
                                <w:szCs w:val="2"/>
                              </w:rPr>
                            </w:pPr>
                          </w:p>
                        </w:tc>
                        <w:tc>
                          <w:tcPr>
                            <w:tcW w:w="2841" w:type="dxa"/>
                            <w:tcBorders>
                              <w:top w:val="single" w:color="000000" w:sz="4" w:space="0"/>
                              <w:bottom w:val="single" w:color="000000" w:sz="4" w:space="0"/>
                            </w:tcBorders>
                          </w:tcPr>
                          <w:p w14:paraId="234708F8">
                            <w:pPr>
                              <w:pStyle w:val="13"/>
                              <w:spacing w:before="109"/>
                              <w:ind w:left="599" w:right="591"/>
                              <w:jc w:val="center"/>
                              <w:rPr>
                                <w:sz w:val="32"/>
                              </w:rPr>
                            </w:pPr>
                            <w:r>
                              <w:rPr>
                                <w:sz w:val="32"/>
                              </w:rPr>
                              <w:t>不良贷款率</w:t>
                            </w:r>
                          </w:p>
                        </w:tc>
                        <w:tc>
                          <w:tcPr>
                            <w:tcW w:w="2841" w:type="dxa"/>
                            <w:tcBorders>
                              <w:top w:val="single" w:color="000000" w:sz="4" w:space="0"/>
                              <w:bottom w:val="single" w:color="000000" w:sz="4" w:space="0"/>
                            </w:tcBorders>
                          </w:tcPr>
                          <w:p w14:paraId="28B316C6">
                            <w:pPr>
                              <w:pStyle w:val="13"/>
                              <w:spacing w:before="109"/>
                              <w:ind w:right="97"/>
                              <w:jc w:val="right"/>
                              <w:rPr>
                                <w:sz w:val="32"/>
                              </w:rPr>
                            </w:pPr>
                            <w:r>
                              <w:rPr>
                                <w:w w:val="99"/>
                                <w:sz w:val="32"/>
                              </w:rPr>
                              <w:t>%</w:t>
                            </w:r>
                          </w:p>
                        </w:tc>
                      </w:tr>
                      <w:tr w14:paraId="044E3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840" w:type="dxa"/>
                            <w:vMerge w:val="continue"/>
                            <w:tcBorders>
                              <w:top w:val="single" w:color="000000" w:sz="4" w:space="0"/>
                              <w:bottom w:val="single" w:color="000000" w:sz="4" w:space="0"/>
                            </w:tcBorders>
                          </w:tcPr>
                          <w:p w14:paraId="35F7BF32">
                            <w:pPr>
                              <w:rPr>
                                <w:sz w:val="2"/>
                                <w:szCs w:val="2"/>
                              </w:rPr>
                            </w:pPr>
                          </w:p>
                        </w:tc>
                        <w:tc>
                          <w:tcPr>
                            <w:tcW w:w="2841" w:type="dxa"/>
                            <w:tcBorders>
                              <w:top w:val="single" w:color="000000" w:sz="4" w:space="0"/>
                              <w:bottom w:val="single" w:color="000000" w:sz="4" w:space="0"/>
                            </w:tcBorders>
                          </w:tcPr>
                          <w:p w14:paraId="17D573FF">
                            <w:pPr>
                              <w:pStyle w:val="13"/>
                              <w:spacing w:before="108"/>
                              <w:ind w:left="599" w:right="591"/>
                              <w:jc w:val="center"/>
                              <w:rPr>
                                <w:sz w:val="32"/>
                              </w:rPr>
                            </w:pPr>
                            <w:r>
                              <w:rPr>
                                <w:sz w:val="32"/>
                              </w:rPr>
                              <w:t>资产利润率</w:t>
                            </w:r>
                          </w:p>
                        </w:tc>
                        <w:tc>
                          <w:tcPr>
                            <w:tcW w:w="2841" w:type="dxa"/>
                            <w:tcBorders>
                              <w:top w:val="single" w:color="000000" w:sz="4" w:space="0"/>
                              <w:bottom w:val="single" w:color="000000" w:sz="4" w:space="0"/>
                            </w:tcBorders>
                          </w:tcPr>
                          <w:p w14:paraId="6E98BBD7">
                            <w:pPr>
                              <w:pStyle w:val="13"/>
                              <w:spacing w:before="108"/>
                              <w:ind w:right="97"/>
                              <w:jc w:val="right"/>
                              <w:rPr>
                                <w:sz w:val="32"/>
                              </w:rPr>
                            </w:pPr>
                            <w:r>
                              <w:rPr>
                                <w:w w:val="99"/>
                                <w:sz w:val="32"/>
                              </w:rPr>
                              <w:t>%</w:t>
                            </w:r>
                          </w:p>
                        </w:tc>
                      </w:tr>
                      <w:tr w14:paraId="39488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840" w:type="dxa"/>
                            <w:vMerge w:val="continue"/>
                            <w:tcBorders>
                              <w:top w:val="single" w:color="000000" w:sz="4" w:space="0"/>
                              <w:bottom w:val="single" w:color="000000" w:sz="4" w:space="0"/>
                            </w:tcBorders>
                          </w:tcPr>
                          <w:p w14:paraId="6AAAB043">
                            <w:pPr>
                              <w:rPr>
                                <w:sz w:val="2"/>
                                <w:szCs w:val="2"/>
                              </w:rPr>
                            </w:pPr>
                          </w:p>
                        </w:tc>
                        <w:tc>
                          <w:tcPr>
                            <w:tcW w:w="2841" w:type="dxa"/>
                            <w:tcBorders>
                              <w:top w:val="single" w:color="000000" w:sz="4" w:space="0"/>
                              <w:bottom w:val="single" w:color="000000" w:sz="4" w:space="0"/>
                            </w:tcBorders>
                          </w:tcPr>
                          <w:p w14:paraId="3DB27949">
                            <w:pPr>
                              <w:pStyle w:val="13"/>
                              <w:spacing w:before="108"/>
                              <w:ind w:left="599" w:right="591"/>
                              <w:jc w:val="center"/>
                              <w:rPr>
                                <w:sz w:val="32"/>
                              </w:rPr>
                            </w:pPr>
                            <w:r>
                              <w:rPr>
                                <w:sz w:val="32"/>
                              </w:rPr>
                              <w:t>流动性比率</w:t>
                            </w:r>
                          </w:p>
                        </w:tc>
                        <w:tc>
                          <w:tcPr>
                            <w:tcW w:w="2841" w:type="dxa"/>
                            <w:tcBorders>
                              <w:top w:val="single" w:color="000000" w:sz="4" w:space="0"/>
                              <w:bottom w:val="single" w:color="000000" w:sz="4" w:space="0"/>
                            </w:tcBorders>
                          </w:tcPr>
                          <w:p w14:paraId="77172FC5">
                            <w:pPr>
                              <w:pStyle w:val="13"/>
                              <w:spacing w:before="108"/>
                              <w:ind w:right="97"/>
                              <w:jc w:val="right"/>
                              <w:rPr>
                                <w:sz w:val="32"/>
                              </w:rPr>
                            </w:pPr>
                            <w:r>
                              <w:rPr>
                                <w:w w:val="99"/>
                                <w:sz w:val="32"/>
                              </w:rPr>
                              <w:t>%</w:t>
                            </w:r>
                          </w:p>
                        </w:tc>
                      </w:tr>
                      <w:tr w14:paraId="08AAB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2840" w:type="dxa"/>
                            <w:tcBorders>
                              <w:top w:val="single" w:color="000000" w:sz="4" w:space="0"/>
                            </w:tcBorders>
                          </w:tcPr>
                          <w:p w14:paraId="2655A340">
                            <w:pPr>
                              <w:pStyle w:val="13"/>
                              <w:spacing w:before="10"/>
                              <w:rPr>
                                <w:sz w:val="32"/>
                              </w:rPr>
                            </w:pPr>
                          </w:p>
                          <w:p w14:paraId="42BE5BD5">
                            <w:pPr>
                              <w:pStyle w:val="13"/>
                              <w:ind w:left="440" w:right="430"/>
                              <w:jc w:val="center"/>
                              <w:rPr>
                                <w:sz w:val="32"/>
                              </w:rPr>
                            </w:pPr>
                            <w:r>
                              <w:rPr>
                                <w:sz w:val="32"/>
                              </w:rPr>
                              <w:t>内部控制水平</w:t>
                            </w:r>
                          </w:p>
                        </w:tc>
                        <w:tc>
                          <w:tcPr>
                            <w:tcW w:w="5682" w:type="dxa"/>
                            <w:gridSpan w:val="2"/>
                            <w:tcBorders>
                              <w:top w:val="single" w:color="000000" w:sz="4" w:space="0"/>
                            </w:tcBorders>
                          </w:tcPr>
                          <w:p w14:paraId="519C3704">
                            <w:pPr>
                              <w:pStyle w:val="13"/>
                              <w:spacing w:before="108"/>
                              <w:ind w:left="106"/>
                              <w:rPr>
                                <w:sz w:val="32"/>
                              </w:rPr>
                            </w:pPr>
                            <w:r>
                              <w:rPr>
                                <w:sz w:val="32"/>
                              </w:rPr>
                              <w:t>请填写</w:t>
                            </w:r>
                            <w:r>
                              <w:rPr>
                                <w:rFonts w:hint="eastAsia"/>
                                <w:sz w:val="32"/>
                                <w:lang w:val="en-US"/>
                              </w:rPr>
                              <w:t>202</w:t>
                            </w:r>
                            <w:r>
                              <w:rPr>
                                <w:rFonts w:hint="eastAsia"/>
                                <w:sz w:val="32"/>
                                <w:lang w:val="en-US" w:eastAsia="zh-CN"/>
                              </w:rPr>
                              <w:t>5</w:t>
                            </w:r>
                            <w:r>
                              <w:rPr>
                                <w:sz w:val="32"/>
                              </w:rPr>
                              <w:t>年度注册会计师发表内控</w:t>
                            </w:r>
                          </w:p>
                          <w:p w14:paraId="6CA92F13">
                            <w:pPr>
                              <w:pStyle w:val="13"/>
                              <w:spacing w:before="214"/>
                              <w:ind w:left="106"/>
                              <w:rPr>
                                <w:sz w:val="32"/>
                              </w:rPr>
                            </w:pPr>
                            <w:r>
                              <w:rPr>
                                <w:sz w:val="32"/>
                              </w:rPr>
                              <w:t>审计报告的审计意见</w:t>
                            </w:r>
                          </w:p>
                        </w:tc>
                      </w:tr>
                    </w:tbl>
                    <w:p w14:paraId="2058F555">
                      <w:pPr>
                        <w:pStyle w:val="4"/>
                      </w:pPr>
                    </w:p>
                  </w:txbxContent>
                </v:textbox>
              </v:shape>
            </w:pict>
          </mc:Fallback>
        </mc:AlternateContent>
      </w:r>
      <w:r>
        <w:t>来源于经中介机构审计后的</w:t>
      </w:r>
      <w:r>
        <w:rPr>
          <w:rFonts w:hint="eastAsia"/>
          <w:lang w:val="en-US"/>
        </w:rPr>
        <w:t>202</w:t>
      </w:r>
      <w:r>
        <w:rPr>
          <w:rFonts w:hint="eastAsia"/>
          <w:lang w:val="en-US" w:eastAsia="zh-CN"/>
        </w:rPr>
        <w:t>5</w:t>
      </w:r>
      <w:r>
        <w:t>年度合并财务报表，相关数据真实</w:t>
      </w:r>
      <w:r>
        <w:rPr>
          <w:rFonts w:hint="eastAsia"/>
        </w:rPr>
        <w:t>、</w:t>
      </w:r>
      <w:r>
        <w:t>有效</w:t>
      </w:r>
      <w:r>
        <w:rPr>
          <w:rFonts w:hint="eastAsia"/>
        </w:rPr>
        <w:t>，</w:t>
      </w:r>
      <w:r>
        <w:t>具体如下：</w:t>
      </w:r>
    </w:p>
    <w:p w14:paraId="2FBC9B1E">
      <w:pPr>
        <w:pStyle w:val="4"/>
      </w:pPr>
    </w:p>
    <w:p w14:paraId="2362318B">
      <w:pPr>
        <w:pStyle w:val="4"/>
      </w:pPr>
    </w:p>
    <w:p w14:paraId="6A09D027">
      <w:pPr>
        <w:pStyle w:val="4"/>
      </w:pPr>
    </w:p>
    <w:p w14:paraId="37E20328">
      <w:pPr>
        <w:pStyle w:val="4"/>
      </w:pPr>
    </w:p>
    <w:p w14:paraId="581DC618">
      <w:pPr>
        <w:pStyle w:val="4"/>
      </w:pPr>
    </w:p>
    <w:p w14:paraId="0E69D927">
      <w:pPr>
        <w:pStyle w:val="4"/>
      </w:pPr>
    </w:p>
    <w:p w14:paraId="216B7FC8">
      <w:pPr>
        <w:pStyle w:val="4"/>
      </w:pPr>
    </w:p>
    <w:p w14:paraId="0997891F">
      <w:pPr>
        <w:pStyle w:val="4"/>
      </w:pPr>
    </w:p>
    <w:p w14:paraId="1BCE2540">
      <w:pPr>
        <w:pStyle w:val="4"/>
      </w:pPr>
    </w:p>
    <w:p w14:paraId="09E80825">
      <w:pPr>
        <w:pStyle w:val="4"/>
      </w:pPr>
    </w:p>
    <w:p w14:paraId="0501113E">
      <w:pPr>
        <w:pStyle w:val="4"/>
      </w:pPr>
    </w:p>
    <w:p w14:paraId="52E56BD2">
      <w:pPr>
        <w:pStyle w:val="4"/>
      </w:pPr>
    </w:p>
    <w:p w14:paraId="667AABB2">
      <w:pPr>
        <w:pStyle w:val="4"/>
      </w:pPr>
    </w:p>
    <w:p w14:paraId="441482C7">
      <w:pPr>
        <w:pStyle w:val="4"/>
      </w:pPr>
    </w:p>
    <w:p w14:paraId="48A446A1">
      <w:pPr>
        <w:pStyle w:val="4"/>
      </w:pPr>
    </w:p>
    <w:p w14:paraId="0639E299">
      <w:pPr>
        <w:pStyle w:val="4"/>
      </w:pPr>
    </w:p>
    <w:p w14:paraId="1714EAC5">
      <w:pPr>
        <w:pStyle w:val="4"/>
        <w:rPr>
          <w:sz w:val="30"/>
        </w:rPr>
      </w:pPr>
    </w:p>
    <w:p w14:paraId="45DE7A62">
      <w:pPr>
        <w:pStyle w:val="4"/>
        <w:spacing w:line="364" w:lineRule="auto"/>
        <w:ind w:left="1820" w:right="2585"/>
        <w:rPr>
          <w:spacing w:val="-6"/>
          <w:w w:val="99"/>
        </w:rPr>
      </w:pPr>
      <w:r>
        <w:rPr>
          <w:rFonts w:hint="eastAsia"/>
          <w:w w:val="99"/>
          <w:lang w:val="en-US"/>
        </w:rPr>
        <w:t>银行</w:t>
      </w:r>
      <w:r>
        <w:rPr>
          <w:w w:val="99"/>
        </w:rPr>
        <w:t>单位名称（</w:t>
      </w:r>
      <w:r>
        <w:rPr>
          <w:spacing w:val="1"/>
          <w:w w:val="99"/>
        </w:rPr>
        <w:t>公章</w:t>
      </w:r>
      <w:r>
        <w:rPr>
          <w:spacing w:val="-167"/>
          <w:w w:val="99"/>
        </w:rPr>
        <w:t>）</w:t>
      </w:r>
      <w:r>
        <w:rPr>
          <w:spacing w:val="-6"/>
          <w:w w:val="99"/>
        </w:rPr>
        <w:t>：</w:t>
      </w:r>
    </w:p>
    <w:p w14:paraId="37D66435">
      <w:pPr>
        <w:pStyle w:val="4"/>
        <w:spacing w:line="364" w:lineRule="auto"/>
        <w:ind w:left="1820" w:right="2585"/>
      </w:pPr>
      <w:r>
        <w:t>日期：</w:t>
      </w:r>
    </w:p>
    <w:p w14:paraId="4F838905">
      <w:pPr>
        <w:spacing w:line="364" w:lineRule="auto"/>
        <w:sectPr>
          <w:type w:val="continuous"/>
          <w:pgSz w:w="11910" w:h="16840"/>
          <w:pgMar w:top="1440" w:right="640" w:bottom="1380" w:left="620" w:header="720" w:footer="720" w:gutter="0"/>
          <w:cols w:space="720" w:num="1"/>
        </w:sectPr>
      </w:pPr>
    </w:p>
    <w:p w14:paraId="05BB3B36">
      <w:pPr>
        <w:pStyle w:val="4"/>
        <w:spacing w:before="30"/>
        <w:ind w:left="1180"/>
      </w:pPr>
      <w:r>
        <w:rPr>
          <w:spacing w:val="-27"/>
        </w:rPr>
        <w:t xml:space="preserve">附件 </w:t>
      </w:r>
      <w:r>
        <w:t>6</w:t>
      </w:r>
    </w:p>
    <w:p w14:paraId="0FE3E111">
      <w:pPr>
        <w:pStyle w:val="4"/>
        <w:spacing w:before="11"/>
        <w:rPr>
          <w:sz w:val="44"/>
        </w:rPr>
      </w:pPr>
      <w:r>
        <w:br w:type="column"/>
      </w:r>
    </w:p>
    <w:p w14:paraId="711C2752">
      <w:pPr>
        <w:pStyle w:val="2"/>
      </w:pPr>
      <w:r>
        <w:t>报价函</w:t>
      </w:r>
    </w:p>
    <w:p w14:paraId="18CDA58D">
      <w:pPr>
        <w:sectPr>
          <w:pgSz w:w="11910" w:h="16840"/>
          <w:pgMar w:top="1500" w:right="640" w:bottom="1160" w:left="620" w:header="0" w:footer="970" w:gutter="0"/>
          <w:cols w:equalWidth="0" w:num="2">
            <w:col w:w="2100" w:space="1392"/>
            <w:col w:w="7158"/>
          </w:cols>
        </w:sectPr>
      </w:pPr>
    </w:p>
    <w:p w14:paraId="2DF95620">
      <w:pPr>
        <w:pStyle w:val="4"/>
        <w:rPr>
          <w:rFonts w:ascii="宋体"/>
          <w:sz w:val="20"/>
        </w:rPr>
      </w:pPr>
    </w:p>
    <w:p w14:paraId="26BE3550">
      <w:pPr>
        <w:pStyle w:val="4"/>
        <w:spacing w:before="2"/>
        <w:rPr>
          <w:rFonts w:ascii="宋体"/>
          <w:sz w:val="23"/>
        </w:rPr>
      </w:pPr>
    </w:p>
    <w:p w14:paraId="06E01A3E">
      <w:pPr>
        <w:pStyle w:val="4"/>
        <w:spacing w:before="54"/>
        <w:ind w:left="1180"/>
      </w:pPr>
      <w:r>
        <w:t>致：</w:t>
      </w:r>
    </w:p>
    <w:p w14:paraId="1BB9D978">
      <w:pPr>
        <w:pStyle w:val="4"/>
        <w:spacing w:before="214"/>
        <w:ind w:left="1820"/>
      </w:pPr>
      <w:r>
        <w:t>我行向贵单位一年期以内（含一年）资金存放项目承诺</w:t>
      </w:r>
    </w:p>
    <w:p w14:paraId="4EBF77EA">
      <w:pPr>
        <w:pStyle w:val="4"/>
        <w:spacing w:before="6"/>
        <w:rPr>
          <w:sz w:val="12"/>
        </w:rPr>
      </w:pPr>
    </w:p>
    <w:p w14:paraId="5246F9F0">
      <w:pPr>
        <w:pStyle w:val="4"/>
        <w:spacing w:before="55"/>
        <w:ind w:left="1180"/>
      </w:pPr>
      <w:r>
        <w:t>保证本金安全，具体存款报价利率如下：</w:t>
      </w:r>
    </w:p>
    <w:p w14:paraId="3EE1E87C">
      <w:pPr>
        <w:pStyle w:val="4"/>
        <w:rPr>
          <w:sz w:val="20"/>
        </w:rPr>
      </w:pPr>
    </w:p>
    <w:p w14:paraId="0F79E0BC">
      <w:pPr>
        <w:pStyle w:val="4"/>
        <w:spacing w:before="3"/>
        <w:rPr>
          <w:sz w:val="26"/>
        </w:rPr>
      </w:pPr>
    </w:p>
    <w:tbl>
      <w:tblPr>
        <w:tblStyle w:val="8"/>
        <w:tblW w:w="0" w:type="auto"/>
        <w:tblInd w:w="11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4"/>
        <w:gridCol w:w="2500"/>
        <w:gridCol w:w="2117"/>
        <w:gridCol w:w="2118"/>
      </w:tblGrid>
      <w:tr w14:paraId="0D4DF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174" w:type="dxa"/>
          </w:tcPr>
          <w:p w14:paraId="377A2958">
            <w:pPr>
              <w:pStyle w:val="13"/>
              <w:spacing w:before="108"/>
              <w:ind w:left="106" w:right="97"/>
              <w:jc w:val="center"/>
              <w:rPr>
                <w:sz w:val="32"/>
              </w:rPr>
            </w:pPr>
            <w:r>
              <w:rPr>
                <w:sz w:val="32"/>
              </w:rPr>
              <w:t>存款产品名称</w:t>
            </w:r>
          </w:p>
        </w:tc>
        <w:tc>
          <w:tcPr>
            <w:tcW w:w="2500" w:type="dxa"/>
          </w:tcPr>
          <w:p w14:paraId="022773ED">
            <w:pPr>
              <w:pStyle w:val="13"/>
              <w:spacing w:before="108"/>
              <w:ind w:left="27" w:right="21"/>
              <w:jc w:val="center"/>
              <w:rPr>
                <w:sz w:val="32"/>
              </w:rPr>
            </w:pPr>
            <w:r>
              <w:rPr>
                <w:sz w:val="32"/>
              </w:rPr>
              <w:t>期限</w:t>
            </w:r>
          </w:p>
        </w:tc>
        <w:tc>
          <w:tcPr>
            <w:tcW w:w="2117" w:type="dxa"/>
          </w:tcPr>
          <w:p w14:paraId="7B8921CC">
            <w:pPr>
              <w:pStyle w:val="13"/>
              <w:spacing w:before="108"/>
              <w:ind w:left="257"/>
              <w:rPr>
                <w:sz w:val="32"/>
              </w:rPr>
            </w:pPr>
            <w:r>
              <w:rPr>
                <w:sz w:val="32"/>
              </w:rPr>
              <w:t>报价年利率</w:t>
            </w:r>
          </w:p>
        </w:tc>
        <w:tc>
          <w:tcPr>
            <w:tcW w:w="2118" w:type="dxa"/>
          </w:tcPr>
          <w:p w14:paraId="60F16A37">
            <w:pPr>
              <w:pStyle w:val="13"/>
              <w:spacing w:before="108"/>
              <w:ind w:left="716" w:right="711"/>
              <w:jc w:val="center"/>
              <w:rPr>
                <w:sz w:val="32"/>
              </w:rPr>
            </w:pPr>
            <w:r>
              <w:rPr>
                <w:sz w:val="32"/>
              </w:rPr>
              <w:t>备注</w:t>
            </w:r>
          </w:p>
        </w:tc>
      </w:tr>
      <w:tr w14:paraId="720CC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2174" w:type="dxa"/>
          </w:tcPr>
          <w:p w14:paraId="53629735">
            <w:pPr>
              <w:pStyle w:val="13"/>
              <w:spacing w:before="165"/>
              <w:ind w:left="104" w:right="97"/>
              <w:jc w:val="center"/>
              <w:rPr>
                <w:sz w:val="32"/>
              </w:rPr>
            </w:pPr>
            <w:r>
              <w:rPr>
                <w:sz w:val="32"/>
              </w:rPr>
              <w:t>活期存款</w:t>
            </w:r>
          </w:p>
        </w:tc>
        <w:tc>
          <w:tcPr>
            <w:tcW w:w="2500" w:type="dxa"/>
          </w:tcPr>
          <w:p w14:paraId="77913CB0">
            <w:pPr>
              <w:pStyle w:val="13"/>
              <w:spacing w:before="165"/>
              <w:ind w:left="29" w:right="21"/>
              <w:jc w:val="center"/>
              <w:rPr>
                <w:sz w:val="32"/>
              </w:rPr>
            </w:pPr>
            <w:r>
              <w:rPr>
                <w:sz w:val="32"/>
              </w:rPr>
              <w:t>活 期</w:t>
            </w:r>
          </w:p>
        </w:tc>
        <w:tc>
          <w:tcPr>
            <w:tcW w:w="2117" w:type="dxa"/>
          </w:tcPr>
          <w:p w14:paraId="51BE07EB">
            <w:pPr>
              <w:pStyle w:val="13"/>
              <w:rPr>
                <w:rFonts w:ascii="Times New Roman"/>
                <w:sz w:val="30"/>
              </w:rPr>
            </w:pPr>
          </w:p>
        </w:tc>
        <w:tc>
          <w:tcPr>
            <w:tcW w:w="2118" w:type="dxa"/>
          </w:tcPr>
          <w:p w14:paraId="0B5237FE">
            <w:pPr>
              <w:pStyle w:val="13"/>
              <w:rPr>
                <w:rFonts w:ascii="Times New Roman"/>
                <w:sz w:val="30"/>
              </w:rPr>
            </w:pPr>
          </w:p>
        </w:tc>
      </w:tr>
      <w:tr w14:paraId="67E5E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2174" w:type="dxa"/>
          </w:tcPr>
          <w:p w14:paraId="6C60E3E1">
            <w:pPr>
              <w:pStyle w:val="13"/>
              <w:spacing w:before="165"/>
              <w:ind w:left="104" w:right="97"/>
              <w:jc w:val="center"/>
              <w:rPr>
                <w:sz w:val="32"/>
              </w:rPr>
            </w:pPr>
            <w:r>
              <w:rPr>
                <w:sz w:val="32"/>
              </w:rPr>
              <w:t>通知存款</w:t>
            </w:r>
          </w:p>
        </w:tc>
        <w:tc>
          <w:tcPr>
            <w:tcW w:w="2500" w:type="dxa"/>
          </w:tcPr>
          <w:p w14:paraId="31D36F51">
            <w:pPr>
              <w:pStyle w:val="13"/>
              <w:spacing w:before="165"/>
              <w:ind w:left="928"/>
              <w:rPr>
                <w:sz w:val="32"/>
              </w:rPr>
            </w:pPr>
            <w:r>
              <w:rPr>
                <w:sz w:val="32"/>
              </w:rPr>
              <w:t>7 天</w:t>
            </w:r>
          </w:p>
        </w:tc>
        <w:tc>
          <w:tcPr>
            <w:tcW w:w="2117" w:type="dxa"/>
          </w:tcPr>
          <w:p w14:paraId="7BF3684C">
            <w:pPr>
              <w:pStyle w:val="13"/>
              <w:rPr>
                <w:rFonts w:ascii="Times New Roman"/>
                <w:sz w:val="30"/>
              </w:rPr>
            </w:pPr>
          </w:p>
        </w:tc>
        <w:tc>
          <w:tcPr>
            <w:tcW w:w="2118" w:type="dxa"/>
          </w:tcPr>
          <w:p w14:paraId="34140C48">
            <w:pPr>
              <w:pStyle w:val="13"/>
              <w:rPr>
                <w:rFonts w:ascii="Times New Roman"/>
                <w:sz w:val="30"/>
              </w:rPr>
            </w:pPr>
          </w:p>
        </w:tc>
      </w:tr>
      <w:tr w14:paraId="182B6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174" w:type="dxa"/>
            <w:vMerge w:val="restart"/>
          </w:tcPr>
          <w:p w14:paraId="7CB21071">
            <w:pPr>
              <w:pStyle w:val="13"/>
              <w:rPr>
                <w:sz w:val="32"/>
              </w:rPr>
            </w:pPr>
          </w:p>
          <w:p w14:paraId="7D97D9E2">
            <w:pPr>
              <w:pStyle w:val="13"/>
              <w:spacing w:before="10"/>
              <w:rPr>
                <w:sz w:val="25"/>
              </w:rPr>
            </w:pPr>
          </w:p>
          <w:p w14:paraId="20545C3F">
            <w:pPr>
              <w:pStyle w:val="13"/>
              <w:ind w:left="446"/>
              <w:rPr>
                <w:sz w:val="32"/>
              </w:rPr>
            </w:pPr>
            <w:r>
              <w:rPr>
                <w:sz w:val="32"/>
              </w:rPr>
              <w:t>定期存款</w:t>
            </w:r>
          </w:p>
        </w:tc>
        <w:tc>
          <w:tcPr>
            <w:tcW w:w="2500" w:type="dxa"/>
          </w:tcPr>
          <w:p w14:paraId="15880CCF">
            <w:pPr>
              <w:pStyle w:val="13"/>
              <w:spacing w:before="107"/>
              <w:ind w:left="29" w:right="19"/>
              <w:jc w:val="center"/>
              <w:rPr>
                <w:sz w:val="32"/>
              </w:rPr>
            </w:pPr>
            <w:r>
              <w:rPr>
                <w:sz w:val="32"/>
              </w:rPr>
              <w:t>3 个月定期存款</w:t>
            </w:r>
          </w:p>
        </w:tc>
        <w:tc>
          <w:tcPr>
            <w:tcW w:w="2117" w:type="dxa"/>
          </w:tcPr>
          <w:p w14:paraId="75208092">
            <w:pPr>
              <w:pStyle w:val="13"/>
              <w:rPr>
                <w:rFonts w:ascii="Times New Roman"/>
                <w:sz w:val="30"/>
              </w:rPr>
            </w:pPr>
          </w:p>
        </w:tc>
        <w:tc>
          <w:tcPr>
            <w:tcW w:w="2118" w:type="dxa"/>
          </w:tcPr>
          <w:p w14:paraId="5F82B03C">
            <w:pPr>
              <w:pStyle w:val="13"/>
              <w:rPr>
                <w:rFonts w:ascii="Times New Roman"/>
                <w:sz w:val="30"/>
              </w:rPr>
            </w:pPr>
          </w:p>
        </w:tc>
      </w:tr>
      <w:tr w14:paraId="201BC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174" w:type="dxa"/>
            <w:vMerge w:val="continue"/>
            <w:tcBorders>
              <w:top w:val="nil"/>
            </w:tcBorders>
          </w:tcPr>
          <w:p w14:paraId="4E2A6274">
            <w:pPr>
              <w:rPr>
                <w:sz w:val="2"/>
                <w:szCs w:val="2"/>
              </w:rPr>
            </w:pPr>
          </w:p>
        </w:tc>
        <w:tc>
          <w:tcPr>
            <w:tcW w:w="2500" w:type="dxa"/>
          </w:tcPr>
          <w:p w14:paraId="45E04F31">
            <w:pPr>
              <w:pStyle w:val="13"/>
              <w:spacing w:before="107"/>
              <w:ind w:left="29" w:right="19"/>
              <w:jc w:val="center"/>
              <w:rPr>
                <w:sz w:val="32"/>
              </w:rPr>
            </w:pPr>
            <w:r>
              <w:rPr>
                <w:sz w:val="32"/>
              </w:rPr>
              <w:t>6 个月定期存款</w:t>
            </w:r>
          </w:p>
        </w:tc>
        <w:tc>
          <w:tcPr>
            <w:tcW w:w="2117" w:type="dxa"/>
          </w:tcPr>
          <w:p w14:paraId="62D21CC8">
            <w:pPr>
              <w:pStyle w:val="13"/>
              <w:rPr>
                <w:rFonts w:ascii="Times New Roman"/>
                <w:sz w:val="30"/>
              </w:rPr>
            </w:pPr>
          </w:p>
        </w:tc>
        <w:tc>
          <w:tcPr>
            <w:tcW w:w="2118" w:type="dxa"/>
          </w:tcPr>
          <w:p w14:paraId="7BC8642E">
            <w:pPr>
              <w:pStyle w:val="13"/>
              <w:rPr>
                <w:rFonts w:ascii="Times New Roman"/>
                <w:sz w:val="30"/>
              </w:rPr>
            </w:pPr>
          </w:p>
        </w:tc>
      </w:tr>
      <w:tr w14:paraId="702EC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174" w:type="dxa"/>
            <w:vMerge w:val="continue"/>
            <w:tcBorders>
              <w:top w:val="nil"/>
            </w:tcBorders>
          </w:tcPr>
          <w:p w14:paraId="5EAA9B4C">
            <w:pPr>
              <w:rPr>
                <w:sz w:val="2"/>
                <w:szCs w:val="2"/>
              </w:rPr>
            </w:pPr>
          </w:p>
        </w:tc>
        <w:tc>
          <w:tcPr>
            <w:tcW w:w="2500" w:type="dxa"/>
          </w:tcPr>
          <w:p w14:paraId="084CB56A">
            <w:pPr>
              <w:pStyle w:val="13"/>
              <w:spacing w:before="109"/>
              <w:ind w:left="29" w:right="21"/>
              <w:jc w:val="center"/>
              <w:rPr>
                <w:sz w:val="32"/>
              </w:rPr>
            </w:pPr>
            <w:r>
              <w:rPr>
                <w:sz w:val="32"/>
              </w:rPr>
              <w:t>12 个月定期存款</w:t>
            </w:r>
          </w:p>
        </w:tc>
        <w:tc>
          <w:tcPr>
            <w:tcW w:w="2117" w:type="dxa"/>
          </w:tcPr>
          <w:p w14:paraId="793AC094">
            <w:pPr>
              <w:pStyle w:val="13"/>
              <w:rPr>
                <w:rFonts w:ascii="Times New Roman"/>
                <w:sz w:val="30"/>
              </w:rPr>
            </w:pPr>
          </w:p>
        </w:tc>
        <w:tc>
          <w:tcPr>
            <w:tcW w:w="2118" w:type="dxa"/>
          </w:tcPr>
          <w:p w14:paraId="04433F56">
            <w:pPr>
              <w:pStyle w:val="13"/>
              <w:rPr>
                <w:rFonts w:ascii="Times New Roman"/>
                <w:sz w:val="30"/>
              </w:rPr>
            </w:pPr>
          </w:p>
        </w:tc>
      </w:tr>
    </w:tbl>
    <w:p w14:paraId="738F2914">
      <w:pPr>
        <w:pStyle w:val="4"/>
        <w:spacing w:before="108" w:line="364" w:lineRule="auto"/>
        <w:ind w:left="1180" w:right="1115"/>
      </w:pPr>
      <w:r>
        <w:t>（至少包含以上报价内容，可自行增加其他报价内容，年利率保留至小数点后三位）</w:t>
      </w:r>
    </w:p>
    <w:p w14:paraId="3096AF81">
      <w:pPr>
        <w:pStyle w:val="4"/>
      </w:pPr>
    </w:p>
    <w:p w14:paraId="2120E123">
      <w:pPr>
        <w:pStyle w:val="4"/>
      </w:pPr>
    </w:p>
    <w:p w14:paraId="1D081CBB">
      <w:pPr>
        <w:pStyle w:val="4"/>
      </w:pPr>
    </w:p>
    <w:p w14:paraId="5B23B443">
      <w:pPr>
        <w:pStyle w:val="4"/>
      </w:pPr>
    </w:p>
    <w:p w14:paraId="5B91E332">
      <w:pPr>
        <w:pStyle w:val="4"/>
        <w:spacing w:before="234" w:line="364" w:lineRule="auto"/>
        <w:ind w:left="1820" w:right="2585"/>
        <w:rPr>
          <w:spacing w:val="-6"/>
          <w:w w:val="99"/>
        </w:rPr>
      </w:pPr>
      <w:r>
        <w:rPr>
          <w:rFonts w:hint="eastAsia"/>
          <w:w w:val="99"/>
          <w:lang w:val="en-US"/>
        </w:rPr>
        <w:t>银行</w:t>
      </w:r>
      <w:r>
        <w:rPr>
          <w:w w:val="99"/>
        </w:rPr>
        <w:t>单位名称（</w:t>
      </w:r>
      <w:r>
        <w:rPr>
          <w:spacing w:val="1"/>
          <w:w w:val="99"/>
        </w:rPr>
        <w:t>公章</w:t>
      </w:r>
      <w:r>
        <w:rPr>
          <w:spacing w:val="-167"/>
          <w:w w:val="99"/>
        </w:rPr>
        <w:t>）</w:t>
      </w:r>
      <w:r>
        <w:rPr>
          <w:spacing w:val="-6"/>
          <w:w w:val="99"/>
        </w:rPr>
        <w:t>：</w:t>
      </w:r>
    </w:p>
    <w:p w14:paraId="2421DB07">
      <w:pPr>
        <w:pStyle w:val="4"/>
        <w:spacing w:before="234" w:line="364" w:lineRule="auto"/>
        <w:ind w:left="1820" w:right="2585"/>
      </w:pPr>
      <w:r>
        <w:t>日期：</w:t>
      </w:r>
    </w:p>
    <w:sectPr>
      <w:type w:val="continuous"/>
      <w:pgSz w:w="11910" w:h="16840"/>
      <w:pgMar w:top="1440" w:right="640" w:bottom="1380" w:left="6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52D76">
    <w:pPr>
      <w:pStyle w:val="4"/>
      <w:spacing w:line="14" w:lineRule="auto"/>
      <w:rPr>
        <w:sz w:val="20"/>
      </w:rPr>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9220" cy="1397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14:paraId="542083C9">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5</w:t>
                          </w:r>
                          <w:r>
                            <w:fldChar w:fldCharType="end"/>
                          </w:r>
                        </w:p>
                      </w:txbxContent>
                    </wps:txbx>
                    <wps:bodyPr lIns="0" tIns="0" rIns="0" bIns="0" upright="1"/>
                  </wps:wsp>
                </a:graphicData>
              </a:graphic>
            </wp:anchor>
          </w:drawing>
        </mc:Choice>
        <mc:Fallback>
          <w:pict>
            <v:shape id="文本框 1" o:spid="_x0000_s1026" o:spt="202" type="#_x0000_t202" style="position:absolute;left:0pt;margin-top:0pt;height:11pt;width:8.6pt;mso-position-horizontal:center;mso-position-horizontal-relative:margin;z-index:251659264;mso-width-relative:page;mso-height-relative:page;" filled="f" stroked="f" coordsize="21600,21600" o:gfxdata="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ZEDqLTAAAAAwEAAA8AAAAAAAAAAQAgAAAAIgAAAGRycy9kb3ducmV2LnhtbFBLAQIUABQAAAAI&#10;AIdO4kC5zBL7uQEAAHEDAAAOAAAAAAAAAAEAIAAAACIBAABkcnMvZTJvRG9jLnhtbFBLBQYAAAAA&#10;BgAGAFkBAABNBQAAAAA=&#10;">
              <v:fill on="f" focussize="0,0"/>
              <v:stroke on="f"/>
              <v:imagedata o:title=""/>
              <o:lock v:ext="edit" aspectratio="f"/>
              <v:textbox inset="0mm,0mm,0mm,0mm">
                <w:txbxContent>
                  <w:p w14:paraId="542083C9">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2BECF">
    <w:pPr>
      <w:pStyle w:val="4"/>
      <w:spacing w:line="14" w:lineRule="auto"/>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3858260</wp:posOffset>
              </wp:positionH>
              <wp:positionV relativeFrom="page">
                <wp:posOffset>9935845</wp:posOffset>
              </wp:positionV>
              <wp:extent cx="109220" cy="1397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14:paraId="74B99F78">
                          <w:pPr>
                            <w:spacing w:line="203" w:lineRule="exact"/>
                            <w:ind w:left="40"/>
                            <w:rPr>
                              <w:rFonts w:ascii="Calibri"/>
                              <w:sz w:val="18"/>
                              <w:lang w:val="en-US"/>
                            </w:rPr>
                          </w:pPr>
                        </w:p>
                        <w:p w14:paraId="38609402">
                          <w:pPr>
                            <w:spacing w:line="203" w:lineRule="exact"/>
                            <w:ind w:left="40"/>
                            <w:rPr>
                              <w:rFonts w:ascii="Calibri"/>
                              <w:sz w:val="18"/>
                              <w:lang w:val="en-US"/>
                            </w:rPr>
                          </w:pPr>
                        </w:p>
                        <w:p w14:paraId="6909FC18">
                          <w:pPr>
                            <w:spacing w:line="203" w:lineRule="exact"/>
                            <w:ind w:left="40"/>
                            <w:rPr>
                              <w:rFonts w:ascii="Calibri"/>
                              <w:sz w:val="18"/>
                              <w:lang w:val="en-US"/>
                            </w:rPr>
                          </w:pPr>
                        </w:p>
                        <w:p w14:paraId="3E6C491A">
                          <w:pPr>
                            <w:spacing w:line="203" w:lineRule="exact"/>
                            <w:ind w:left="40"/>
                            <w:rPr>
                              <w:rFonts w:ascii="Calibri"/>
                              <w:sz w:val="18"/>
                              <w:lang w:val="en-US"/>
                            </w:rPr>
                          </w:pPr>
                        </w:p>
                        <w:p w14:paraId="40008F9A">
                          <w:pPr>
                            <w:spacing w:line="203" w:lineRule="exact"/>
                            <w:ind w:left="40"/>
                            <w:rPr>
                              <w:rFonts w:ascii="Calibri"/>
                              <w:sz w:val="18"/>
                              <w:lang w:val="en-US"/>
                            </w:rPr>
                          </w:pPr>
                        </w:p>
                      </w:txbxContent>
                    </wps:txbx>
                    <wps:bodyPr lIns="0" tIns="0" rIns="0" bIns="0" upright="1"/>
                  </wps:wsp>
                </a:graphicData>
              </a:graphic>
            </wp:anchor>
          </w:drawing>
        </mc:Choice>
        <mc:Fallback>
          <w:pict>
            <v:shape id="文本框 2" o:spid="_x0000_s1026" o:spt="202" type="#_x0000_t202" style="position:absolute;left:0pt;margin-left:303.8pt;margin-top:782.35pt;height:11pt;width:8.6pt;mso-position-horizontal-relative:page;mso-position-vertical-relative:page;z-index:-251656192;mso-width-relative:page;mso-height-relative:page;" filled="f" stroked="f" coordsize="21600,21600" o:gfxdata="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OeEiu2gAAAA0BAAAPAAAAAAAAAAEAIAAAACIAAABkcnMvZG93bnJldi54bWxQSwEC&#10;FAAUAAAACACHTuJAkFBv/bkBAABxAwAADgAAAAAAAAABACAAAAApAQAAZHJzL2Uyb0RvYy54bWxQ&#10;SwUGAAAAAAYABgBZAQAAVAUAAAAA&#10;">
              <v:fill on="f" focussize="0,0"/>
              <v:stroke on="f"/>
              <v:imagedata o:title=""/>
              <o:lock v:ext="edit" aspectratio="f"/>
              <v:textbox inset="0mm,0mm,0mm,0mm">
                <w:txbxContent>
                  <w:p w14:paraId="74B99F78">
                    <w:pPr>
                      <w:spacing w:line="203" w:lineRule="exact"/>
                      <w:ind w:left="40"/>
                      <w:rPr>
                        <w:rFonts w:ascii="Calibri"/>
                        <w:sz w:val="18"/>
                        <w:lang w:val="en-US"/>
                      </w:rPr>
                    </w:pPr>
                  </w:p>
                  <w:p w14:paraId="38609402">
                    <w:pPr>
                      <w:spacing w:line="203" w:lineRule="exact"/>
                      <w:ind w:left="40"/>
                      <w:rPr>
                        <w:rFonts w:ascii="Calibri"/>
                        <w:sz w:val="18"/>
                        <w:lang w:val="en-US"/>
                      </w:rPr>
                    </w:pPr>
                  </w:p>
                  <w:p w14:paraId="6909FC18">
                    <w:pPr>
                      <w:spacing w:line="203" w:lineRule="exact"/>
                      <w:ind w:left="40"/>
                      <w:rPr>
                        <w:rFonts w:ascii="Calibri"/>
                        <w:sz w:val="18"/>
                        <w:lang w:val="en-US"/>
                      </w:rPr>
                    </w:pPr>
                  </w:p>
                  <w:p w14:paraId="3E6C491A">
                    <w:pPr>
                      <w:spacing w:line="203" w:lineRule="exact"/>
                      <w:ind w:left="40"/>
                      <w:rPr>
                        <w:rFonts w:ascii="Calibri"/>
                        <w:sz w:val="18"/>
                        <w:lang w:val="en-US"/>
                      </w:rPr>
                    </w:pPr>
                  </w:p>
                  <w:p w14:paraId="40008F9A">
                    <w:pPr>
                      <w:spacing w:line="203" w:lineRule="exact"/>
                      <w:ind w:left="40"/>
                      <w:rPr>
                        <w:rFonts w:ascii="Calibri"/>
                        <w:sz w:val="18"/>
                        <w:lang w:val="en-US"/>
                      </w:rPr>
                    </w:pPr>
                  </w:p>
                </w:txbxContent>
              </v:textbox>
            </v:shape>
          </w:pict>
        </mc:Fallback>
      </mc:AlternateContent>
    </w:r>
    <w:r>
      <w:rPr>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CE35D">
                          <w:pPr>
                            <w:pStyle w:val="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35CE35D">
                    <w:pPr>
                      <w:pStyle w:val="6"/>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58E62">
    <w:pPr>
      <w:pStyle w:val="4"/>
      <w:spacing w:line="14" w:lineRule="auto"/>
      <w:rPr>
        <w:sz w:val="20"/>
      </w:rPr>
    </w:pPr>
    <w:r>
      <w:rPr>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1A513">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ED1A513">
                    <w:pPr>
                      <w:pStyle w:val="6"/>
                    </w:pPr>
                    <w:r>
                      <w:fldChar w:fldCharType="begin"/>
                    </w:r>
                    <w:r>
                      <w:instrText xml:space="preserve"> PAGE  \* MERGEFORMAT </w:instrText>
                    </w:r>
                    <w:r>
                      <w:fldChar w:fldCharType="separate"/>
                    </w:r>
                    <w:r>
                      <w:t>13</w:t>
                    </w:r>
                    <w:r>
                      <w:fldChar w:fldCharType="end"/>
                    </w:r>
                  </w:p>
                </w:txbxContent>
              </v:textbox>
            </v:shape>
          </w:pict>
        </mc:Fallback>
      </mc:AlternateContent>
    </w:r>
    <w:r>
      <w:rPr>
        <w:lang w:val="en-US" w:bidi="ar-SA"/>
      </w:rPr>
      <mc:AlternateContent>
        <mc:Choice Requires="wps">
          <w:drawing>
            <wp:anchor distT="0" distB="0" distL="114300" distR="114300" simplePos="0" relativeHeight="251661312" behindDoc="1" locked="0" layoutInCell="1" allowOverlap="1">
              <wp:simplePos x="0" y="0"/>
              <wp:positionH relativeFrom="page">
                <wp:posOffset>3695700</wp:posOffset>
              </wp:positionH>
              <wp:positionV relativeFrom="page">
                <wp:posOffset>9935845</wp:posOffset>
              </wp:positionV>
              <wp:extent cx="167005" cy="1397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0D43727C">
                          <w:pPr>
                            <w:spacing w:line="203" w:lineRule="exact"/>
                            <w:ind w:left="40"/>
                            <w:rPr>
                              <w:rFonts w:ascii="Calibri"/>
                              <w:sz w:val="18"/>
                              <w:lang w:val="en-US"/>
                            </w:rPr>
                          </w:pPr>
                        </w:p>
                        <w:p w14:paraId="28D88760">
                          <w:pPr>
                            <w:spacing w:line="203" w:lineRule="exact"/>
                            <w:ind w:left="40"/>
                            <w:rPr>
                              <w:rFonts w:ascii="Calibri"/>
                              <w:sz w:val="18"/>
                              <w:lang w:val="en-US"/>
                            </w:rPr>
                          </w:pPr>
                        </w:p>
                      </w:txbxContent>
                    </wps:txbx>
                    <wps:bodyPr lIns="0" tIns="0" rIns="0" bIns="0" upright="1"/>
                  </wps:wsp>
                </a:graphicData>
              </a:graphic>
            </wp:anchor>
          </w:drawing>
        </mc:Choice>
        <mc:Fallback>
          <w:pict>
            <v:shape id="文本框 3" o:spid="_x0000_s1026" o:spt="202" type="#_x0000_t202" style="position:absolute;left:0pt;margin-left:291pt;margin-top:782.35pt;height:11pt;width:13.15pt;mso-position-horizontal-relative:page;mso-position-vertical-relative:page;z-index:-251655168;mso-width-relative:page;mso-height-relative:page;" filled="f" stroked="f" coordsize="21600,21600" o:gfxdata="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a41XNsAAAANAQAADwAAAAAAAAABACAAAAAiAAAAZHJzL2Rvd25yZXYueG1sUEsB&#10;AhQAFAAAAAgAh07iQMW3NrW5AQAAcQMAAA4AAAAAAAAAAQAgAAAAKgEAAGRycy9lMm9Eb2MueG1s&#10;UEsFBgAAAAAGAAYAWQEAAFUFAAAAAA==&#10;">
              <v:fill on="f" focussize="0,0"/>
              <v:stroke on="f"/>
              <v:imagedata o:title=""/>
              <o:lock v:ext="edit" aspectratio="f"/>
              <v:textbox inset="0mm,0mm,0mm,0mm">
                <w:txbxContent>
                  <w:p w14:paraId="0D43727C">
                    <w:pPr>
                      <w:spacing w:line="203" w:lineRule="exact"/>
                      <w:ind w:left="40"/>
                      <w:rPr>
                        <w:rFonts w:ascii="Calibri"/>
                        <w:sz w:val="18"/>
                        <w:lang w:val="en-US"/>
                      </w:rPr>
                    </w:pPr>
                  </w:p>
                  <w:p w14:paraId="28D88760">
                    <w:pPr>
                      <w:spacing w:line="203" w:lineRule="exact"/>
                      <w:ind w:left="40"/>
                      <w:rPr>
                        <w:rFonts w:ascii="Calibri"/>
                        <w:sz w:val="18"/>
                        <w:lang w:val="en-US"/>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4"/>
      <w:numFmt w:val="decimal"/>
      <w:lvlText w:val="（%1）"/>
      <w:lvlJc w:val="left"/>
      <w:pPr>
        <w:ind w:left="2620" w:hanging="800"/>
        <w:jc w:val="left"/>
      </w:pPr>
      <w:rPr>
        <w:rFonts w:hint="default" w:ascii="仿宋" w:hAnsi="仿宋" w:eastAsia="仿宋" w:cs="仿宋"/>
        <w:w w:val="99"/>
        <w:sz w:val="30"/>
        <w:szCs w:val="30"/>
        <w:lang w:val="zh-CN" w:eastAsia="zh-CN" w:bidi="zh-CN"/>
      </w:rPr>
    </w:lvl>
    <w:lvl w:ilvl="1" w:tentative="0">
      <w:start w:val="0"/>
      <w:numFmt w:val="bullet"/>
      <w:lvlText w:val="•"/>
      <w:lvlJc w:val="left"/>
      <w:pPr>
        <w:ind w:left="3422" w:hanging="800"/>
      </w:pPr>
      <w:rPr>
        <w:rFonts w:hint="default"/>
        <w:lang w:val="zh-CN" w:eastAsia="zh-CN" w:bidi="zh-CN"/>
      </w:rPr>
    </w:lvl>
    <w:lvl w:ilvl="2" w:tentative="0">
      <w:start w:val="0"/>
      <w:numFmt w:val="bullet"/>
      <w:lvlText w:val="•"/>
      <w:lvlJc w:val="left"/>
      <w:pPr>
        <w:ind w:left="4225" w:hanging="800"/>
      </w:pPr>
      <w:rPr>
        <w:rFonts w:hint="default"/>
        <w:lang w:val="zh-CN" w:eastAsia="zh-CN" w:bidi="zh-CN"/>
      </w:rPr>
    </w:lvl>
    <w:lvl w:ilvl="3" w:tentative="0">
      <w:start w:val="0"/>
      <w:numFmt w:val="bullet"/>
      <w:lvlText w:val="•"/>
      <w:lvlJc w:val="left"/>
      <w:pPr>
        <w:ind w:left="5027" w:hanging="800"/>
      </w:pPr>
      <w:rPr>
        <w:rFonts w:hint="default"/>
        <w:lang w:val="zh-CN" w:eastAsia="zh-CN" w:bidi="zh-CN"/>
      </w:rPr>
    </w:lvl>
    <w:lvl w:ilvl="4" w:tentative="0">
      <w:start w:val="0"/>
      <w:numFmt w:val="bullet"/>
      <w:lvlText w:val="•"/>
      <w:lvlJc w:val="left"/>
      <w:pPr>
        <w:ind w:left="5830" w:hanging="800"/>
      </w:pPr>
      <w:rPr>
        <w:rFonts w:hint="default"/>
        <w:lang w:val="zh-CN" w:eastAsia="zh-CN" w:bidi="zh-CN"/>
      </w:rPr>
    </w:lvl>
    <w:lvl w:ilvl="5" w:tentative="0">
      <w:start w:val="0"/>
      <w:numFmt w:val="bullet"/>
      <w:lvlText w:val="•"/>
      <w:lvlJc w:val="left"/>
      <w:pPr>
        <w:ind w:left="6633" w:hanging="800"/>
      </w:pPr>
      <w:rPr>
        <w:rFonts w:hint="default"/>
        <w:lang w:val="zh-CN" w:eastAsia="zh-CN" w:bidi="zh-CN"/>
      </w:rPr>
    </w:lvl>
    <w:lvl w:ilvl="6" w:tentative="0">
      <w:start w:val="0"/>
      <w:numFmt w:val="bullet"/>
      <w:lvlText w:val="•"/>
      <w:lvlJc w:val="left"/>
      <w:pPr>
        <w:ind w:left="7435" w:hanging="800"/>
      </w:pPr>
      <w:rPr>
        <w:rFonts w:hint="default"/>
        <w:lang w:val="zh-CN" w:eastAsia="zh-CN" w:bidi="zh-CN"/>
      </w:rPr>
    </w:lvl>
    <w:lvl w:ilvl="7" w:tentative="0">
      <w:start w:val="0"/>
      <w:numFmt w:val="bullet"/>
      <w:lvlText w:val="•"/>
      <w:lvlJc w:val="left"/>
      <w:pPr>
        <w:ind w:left="8238" w:hanging="800"/>
      </w:pPr>
      <w:rPr>
        <w:rFonts w:hint="default"/>
        <w:lang w:val="zh-CN" w:eastAsia="zh-CN" w:bidi="zh-CN"/>
      </w:rPr>
    </w:lvl>
    <w:lvl w:ilvl="8" w:tentative="0">
      <w:start w:val="0"/>
      <w:numFmt w:val="bullet"/>
      <w:lvlText w:val="•"/>
      <w:lvlJc w:val="left"/>
      <w:pPr>
        <w:ind w:left="9040" w:hanging="800"/>
      </w:pPr>
      <w:rPr>
        <w:rFonts w:hint="default"/>
        <w:lang w:val="zh-CN" w:eastAsia="zh-CN" w:bidi="zh-CN"/>
      </w:rPr>
    </w:lvl>
  </w:abstractNum>
  <w:abstractNum w:abstractNumId="1">
    <w:nsid w:val="C17A1579"/>
    <w:multiLevelType w:val="multilevel"/>
    <w:tmpl w:val="C17A1579"/>
    <w:lvl w:ilvl="0" w:tentative="0">
      <w:start w:val="1"/>
      <w:numFmt w:val="decimal"/>
      <w:lvlText w:val="%1."/>
      <w:lvlJc w:val="left"/>
      <w:pPr>
        <w:ind w:left="1180" w:hanging="322"/>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2126" w:hanging="322"/>
      </w:pPr>
      <w:rPr>
        <w:rFonts w:hint="default"/>
        <w:lang w:val="zh-CN" w:eastAsia="zh-CN" w:bidi="zh-CN"/>
      </w:rPr>
    </w:lvl>
    <w:lvl w:ilvl="2" w:tentative="0">
      <w:start w:val="0"/>
      <w:numFmt w:val="bullet"/>
      <w:lvlText w:val="•"/>
      <w:lvlJc w:val="left"/>
      <w:pPr>
        <w:ind w:left="3073" w:hanging="322"/>
      </w:pPr>
      <w:rPr>
        <w:rFonts w:hint="default"/>
        <w:lang w:val="zh-CN" w:eastAsia="zh-CN" w:bidi="zh-CN"/>
      </w:rPr>
    </w:lvl>
    <w:lvl w:ilvl="3" w:tentative="0">
      <w:start w:val="0"/>
      <w:numFmt w:val="bullet"/>
      <w:lvlText w:val="•"/>
      <w:lvlJc w:val="left"/>
      <w:pPr>
        <w:ind w:left="4019" w:hanging="322"/>
      </w:pPr>
      <w:rPr>
        <w:rFonts w:hint="default"/>
        <w:lang w:val="zh-CN" w:eastAsia="zh-CN" w:bidi="zh-CN"/>
      </w:rPr>
    </w:lvl>
    <w:lvl w:ilvl="4" w:tentative="0">
      <w:start w:val="0"/>
      <w:numFmt w:val="bullet"/>
      <w:lvlText w:val="•"/>
      <w:lvlJc w:val="left"/>
      <w:pPr>
        <w:ind w:left="4966" w:hanging="322"/>
      </w:pPr>
      <w:rPr>
        <w:rFonts w:hint="default"/>
        <w:lang w:val="zh-CN" w:eastAsia="zh-CN" w:bidi="zh-CN"/>
      </w:rPr>
    </w:lvl>
    <w:lvl w:ilvl="5" w:tentative="0">
      <w:start w:val="0"/>
      <w:numFmt w:val="bullet"/>
      <w:lvlText w:val="•"/>
      <w:lvlJc w:val="left"/>
      <w:pPr>
        <w:ind w:left="5913" w:hanging="322"/>
      </w:pPr>
      <w:rPr>
        <w:rFonts w:hint="default"/>
        <w:lang w:val="zh-CN" w:eastAsia="zh-CN" w:bidi="zh-CN"/>
      </w:rPr>
    </w:lvl>
    <w:lvl w:ilvl="6" w:tentative="0">
      <w:start w:val="0"/>
      <w:numFmt w:val="bullet"/>
      <w:lvlText w:val="•"/>
      <w:lvlJc w:val="left"/>
      <w:pPr>
        <w:ind w:left="6859" w:hanging="322"/>
      </w:pPr>
      <w:rPr>
        <w:rFonts w:hint="default"/>
        <w:lang w:val="zh-CN" w:eastAsia="zh-CN" w:bidi="zh-CN"/>
      </w:rPr>
    </w:lvl>
    <w:lvl w:ilvl="7" w:tentative="0">
      <w:start w:val="0"/>
      <w:numFmt w:val="bullet"/>
      <w:lvlText w:val="•"/>
      <w:lvlJc w:val="left"/>
      <w:pPr>
        <w:ind w:left="7806" w:hanging="322"/>
      </w:pPr>
      <w:rPr>
        <w:rFonts w:hint="default"/>
        <w:lang w:val="zh-CN" w:eastAsia="zh-CN" w:bidi="zh-CN"/>
      </w:rPr>
    </w:lvl>
    <w:lvl w:ilvl="8" w:tentative="0">
      <w:start w:val="0"/>
      <w:numFmt w:val="bullet"/>
      <w:lvlText w:val="•"/>
      <w:lvlJc w:val="left"/>
      <w:pPr>
        <w:ind w:left="8752" w:hanging="322"/>
      </w:pPr>
      <w:rPr>
        <w:rFonts w:hint="default"/>
        <w:lang w:val="zh-CN" w:eastAsia="zh-CN" w:bidi="zh-CN"/>
      </w:rPr>
    </w:lvl>
  </w:abstractNum>
  <w:abstractNum w:abstractNumId="2">
    <w:nsid w:val="CF092B84"/>
    <w:multiLevelType w:val="multilevel"/>
    <w:tmpl w:val="CF092B84"/>
    <w:lvl w:ilvl="0" w:tentative="0">
      <w:start w:val="1"/>
      <w:numFmt w:val="decimal"/>
      <w:lvlText w:val="%1."/>
      <w:lvlJc w:val="left"/>
      <w:pPr>
        <w:ind w:left="2142" w:hanging="322"/>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2990" w:hanging="322"/>
      </w:pPr>
      <w:rPr>
        <w:rFonts w:hint="default"/>
        <w:lang w:val="zh-CN" w:eastAsia="zh-CN" w:bidi="zh-CN"/>
      </w:rPr>
    </w:lvl>
    <w:lvl w:ilvl="2" w:tentative="0">
      <w:start w:val="0"/>
      <w:numFmt w:val="bullet"/>
      <w:lvlText w:val="•"/>
      <w:lvlJc w:val="left"/>
      <w:pPr>
        <w:ind w:left="3841" w:hanging="322"/>
      </w:pPr>
      <w:rPr>
        <w:rFonts w:hint="default"/>
        <w:lang w:val="zh-CN" w:eastAsia="zh-CN" w:bidi="zh-CN"/>
      </w:rPr>
    </w:lvl>
    <w:lvl w:ilvl="3" w:tentative="0">
      <w:start w:val="0"/>
      <w:numFmt w:val="bullet"/>
      <w:lvlText w:val="•"/>
      <w:lvlJc w:val="left"/>
      <w:pPr>
        <w:ind w:left="4691" w:hanging="322"/>
      </w:pPr>
      <w:rPr>
        <w:rFonts w:hint="default"/>
        <w:lang w:val="zh-CN" w:eastAsia="zh-CN" w:bidi="zh-CN"/>
      </w:rPr>
    </w:lvl>
    <w:lvl w:ilvl="4" w:tentative="0">
      <w:start w:val="0"/>
      <w:numFmt w:val="bullet"/>
      <w:lvlText w:val="•"/>
      <w:lvlJc w:val="left"/>
      <w:pPr>
        <w:ind w:left="5542" w:hanging="322"/>
      </w:pPr>
      <w:rPr>
        <w:rFonts w:hint="default"/>
        <w:lang w:val="zh-CN" w:eastAsia="zh-CN" w:bidi="zh-CN"/>
      </w:rPr>
    </w:lvl>
    <w:lvl w:ilvl="5" w:tentative="0">
      <w:start w:val="0"/>
      <w:numFmt w:val="bullet"/>
      <w:lvlText w:val="•"/>
      <w:lvlJc w:val="left"/>
      <w:pPr>
        <w:ind w:left="6393" w:hanging="322"/>
      </w:pPr>
      <w:rPr>
        <w:rFonts w:hint="default"/>
        <w:lang w:val="zh-CN" w:eastAsia="zh-CN" w:bidi="zh-CN"/>
      </w:rPr>
    </w:lvl>
    <w:lvl w:ilvl="6" w:tentative="0">
      <w:start w:val="0"/>
      <w:numFmt w:val="bullet"/>
      <w:lvlText w:val="•"/>
      <w:lvlJc w:val="left"/>
      <w:pPr>
        <w:ind w:left="7243" w:hanging="322"/>
      </w:pPr>
      <w:rPr>
        <w:rFonts w:hint="default"/>
        <w:lang w:val="zh-CN" w:eastAsia="zh-CN" w:bidi="zh-CN"/>
      </w:rPr>
    </w:lvl>
    <w:lvl w:ilvl="7" w:tentative="0">
      <w:start w:val="0"/>
      <w:numFmt w:val="bullet"/>
      <w:lvlText w:val="•"/>
      <w:lvlJc w:val="left"/>
      <w:pPr>
        <w:ind w:left="8094" w:hanging="322"/>
      </w:pPr>
      <w:rPr>
        <w:rFonts w:hint="default"/>
        <w:lang w:val="zh-CN" w:eastAsia="zh-CN" w:bidi="zh-CN"/>
      </w:rPr>
    </w:lvl>
    <w:lvl w:ilvl="8" w:tentative="0">
      <w:start w:val="0"/>
      <w:numFmt w:val="bullet"/>
      <w:lvlText w:val="•"/>
      <w:lvlJc w:val="left"/>
      <w:pPr>
        <w:ind w:left="8944" w:hanging="322"/>
      </w:pPr>
      <w:rPr>
        <w:rFonts w:hint="default"/>
        <w:lang w:val="zh-CN" w:eastAsia="zh-CN" w:bidi="zh-CN"/>
      </w:rPr>
    </w:lvl>
  </w:abstractNum>
  <w:abstractNum w:abstractNumId="3">
    <w:nsid w:val="0053208E"/>
    <w:multiLevelType w:val="multilevel"/>
    <w:tmpl w:val="0053208E"/>
    <w:lvl w:ilvl="0" w:tentative="0">
      <w:start w:val="1"/>
      <w:numFmt w:val="decimal"/>
      <w:lvlText w:val="%1."/>
      <w:lvlJc w:val="left"/>
      <w:pPr>
        <w:ind w:left="1180" w:hanging="322"/>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2126" w:hanging="322"/>
      </w:pPr>
      <w:rPr>
        <w:rFonts w:hint="default"/>
        <w:lang w:val="zh-CN" w:eastAsia="zh-CN" w:bidi="zh-CN"/>
      </w:rPr>
    </w:lvl>
    <w:lvl w:ilvl="2" w:tentative="0">
      <w:start w:val="0"/>
      <w:numFmt w:val="bullet"/>
      <w:lvlText w:val="•"/>
      <w:lvlJc w:val="left"/>
      <w:pPr>
        <w:ind w:left="3073" w:hanging="322"/>
      </w:pPr>
      <w:rPr>
        <w:rFonts w:hint="default"/>
        <w:lang w:val="zh-CN" w:eastAsia="zh-CN" w:bidi="zh-CN"/>
      </w:rPr>
    </w:lvl>
    <w:lvl w:ilvl="3" w:tentative="0">
      <w:start w:val="0"/>
      <w:numFmt w:val="bullet"/>
      <w:lvlText w:val="•"/>
      <w:lvlJc w:val="left"/>
      <w:pPr>
        <w:ind w:left="4019" w:hanging="322"/>
      </w:pPr>
      <w:rPr>
        <w:rFonts w:hint="default"/>
        <w:lang w:val="zh-CN" w:eastAsia="zh-CN" w:bidi="zh-CN"/>
      </w:rPr>
    </w:lvl>
    <w:lvl w:ilvl="4" w:tentative="0">
      <w:start w:val="0"/>
      <w:numFmt w:val="bullet"/>
      <w:lvlText w:val="•"/>
      <w:lvlJc w:val="left"/>
      <w:pPr>
        <w:ind w:left="4966" w:hanging="322"/>
      </w:pPr>
      <w:rPr>
        <w:rFonts w:hint="default"/>
        <w:lang w:val="zh-CN" w:eastAsia="zh-CN" w:bidi="zh-CN"/>
      </w:rPr>
    </w:lvl>
    <w:lvl w:ilvl="5" w:tentative="0">
      <w:start w:val="0"/>
      <w:numFmt w:val="bullet"/>
      <w:lvlText w:val="•"/>
      <w:lvlJc w:val="left"/>
      <w:pPr>
        <w:ind w:left="5913" w:hanging="322"/>
      </w:pPr>
      <w:rPr>
        <w:rFonts w:hint="default"/>
        <w:lang w:val="zh-CN" w:eastAsia="zh-CN" w:bidi="zh-CN"/>
      </w:rPr>
    </w:lvl>
    <w:lvl w:ilvl="6" w:tentative="0">
      <w:start w:val="0"/>
      <w:numFmt w:val="bullet"/>
      <w:lvlText w:val="•"/>
      <w:lvlJc w:val="left"/>
      <w:pPr>
        <w:ind w:left="6859" w:hanging="322"/>
      </w:pPr>
      <w:rPr>
        <w:rFonts w:hint="default"/>
        <w:lang w:val="zh-CN" w:eastAsia="zh-CN" w:bidi="zh-CN"/>
      </w:rPr>
    </w:lvl>
    <w:lvl w:ilvl="7" w:tentative="0">
      <w:start w:val="0"/>
      <w:numFmt w:val="bullet"/>
      <w:lvlText w:val="•"/>
      <w:lvlJc w:val="left"/>
      <w:pPr>
        <w:ind w:left="7806" w:hanging="322"/>
      </w:pPr>
      <w:rPr>
        <w:rFonts w:hint="default"/>
        <w:lang w:val="zh-CN" w:eastAsia="zh-CN" w:bidi="zh-CN"/>
      </w:rPr>
    </w:lvl>
    <w:lvl w:ilvl="8" w:tentative="0">
      <w:start w:val="0"/>
      <w:numFmt w:val="bullet"/>
      <w:lvlText w:val="•"/>
      <w:lvlJc w:val="left"/>
      <w:pPr>
        <w:ind w:left="8752" w:hanging="322"/>
      </w:pPr>
      <w:rPr>
        <w:rFonts w:hint="default"/>
        <w:lang w:val="zh-CN" w:eastAsia="zh-CN" w:bidi="zh-CN"/>
      </w:rPr>
    </w:lvl>
  </w:abstractNum>
  <w:abstractNum w:abstractNumId="4">
    <w:nsid w:val="72183CF9"/>
    <w:multiLevelType w:val="multilevel"/>
    <w:tmpl w:val="72183CF9"/>
    <w:lvl w:ilvl="0" w:tentative="0">
      <w:start w:val="1"/>
      <w:numFmt w:val="decimal"/>
      <w:lvlText w:val="%1."/>
      <w:lvlJc w:val="left"/>
      <w:pPr>
        <w:ind w:left="2142" w:hanging="322"/>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2990" w:hanging="322"/>
      </w:pPr>
      <w:rPr>
        <w:rFonts w:hint="default"/>
        <w:lang w:val="zh-CN" w:eastAsia="zh-CN" w:bidi="zh-CN"/>
      </w:rPr>
    </w:lvl>
    <w:lvl w:ilvl="2" w:tentative="0">
      <w:start w:val="0"/>
      <w:numFmt w:val="bullet"/>
      <w:lvlText w:val="•"/>
      <w:lvlJc w:val="left"/>
      <w:pPr>
        <w:ind w:left="3841" w:hanging="322"/>
      </w:pPr>
      <w:rPr>
        <w:rFonts w:hint="default"/>
        <w:lang w:val="zh-CN" w:eastAsia="zh-CN" w:bidi="zh-CN"/>
      </w:rPr>
    </w:lvl>
    <w:lvl w:ilvl="3" w:tentative="0">
      <w:start w:val="0"/>
      <w:numFmt w:val="bullet"/>
      <w:lvlText w:val="•"/>
      <w:lvlJc w:val="left"/>
      <w:pPr>
        <w:ind w:left="4691" w:hanging="322"/>
      </w:pPr>
      <w:rPr>
        <w:rFonts w:hint="default"/>
        <w:lang w:val="zh-CN" w:eastAsia="zh-CN" w:bidi="zh-CN"/>
      </w:rPr>
    </w:lvl>
    <w:lvl w:ilvl="4" w:tentative="0">
      <w:start w:val="0"/>
      <w:numFmt w:val="bullet"/>
      <w:lvlText w:val="•"/>
      <w:lvlJc w:val="left"/>
      <w:pPr>
        <w:ind w:left="5542" w:hanging="322"/>
      </w:pPr>
      <w:rPr>
        <w:rFonts w:hint="default"/>
        <w:lang w:val="zh-CN" w:eastAsia="zh-CN" w:bidi="zh-CN"/>
      </w:rPr>
    </w:lvl>
    <w:lvl w:ilvl="5" w:tentative="0">
      <w:start w:val="0"/>
      <w:numFmt w:val="bullet"/>
      <w:lvlText w:val="•"/>
      <w:lvlJc w:val="left"/>
      <w:pPr>
        <w:ind w:left="6393" w:hanging="322"/>
      </w:pPr>
      <w:rPr>
        <w:rFonts w:hint="default"/>
        <w:lang w:val="zh-CN" w:eastAsia="zh-CN" w:bidi="zh-CN"/>
      </w:rPr>
    </w:lvl>
    <w:lvl w:ilvl="6" w:tentative="0">
      <w:start w:val="0"/>
      <w:numFmt w:val="bullet"/>
      <w:lvlText w:val="•"/>
      <w:lvlJc w:val="left"/>
      <w:pPr>
        <w:ind w:left="7243" w:hanging="322"/>
      </w:pPr>
      <w:rPr>
        <w:rFonts w:hint="default"/>
        <w:lang w:val="zh-CN" w:eastAsia="zh-CN" w:bidi="zh-CN"/>
      </w:rPr>
    </w:lvl>
    <w:lvl w:ilvl="7" w:tentative="0">
      <w:start w:val="0"/>
      <w:numFmt w:val="bullet"/>
      <w:lvlText w:val="•"/>
      <w:lvlJc w:val="left"/>
      <w:pPr>
        <w:ind w:left="8094" w:hanging="322"/>
      </w:pPr>
      <w:rPr>
        <w:rFonts w:hint="default"/>
        <w:lang w:val="zh-CN" w:eastAsia="zh-CN" w:bidi="zh-CN"/>
      </w:rPr>
    </w:lvl>
    <w:lvl w:ilvl="8" w:tentative="0">
      <w:start w:val="0"/>
      <w:numFmt w:val="bullet"/>
      <w:lvlText w:val="•"/>
      <w:lvlJc w:val="left"/>
      <w:pPr>
        <w:ind w:left="8944" w:hanging="322"/>
      </w:pPr>
      <w:rPr>
        <w:rFonts w:hint="default"/>
        <w:lang w:val="zh-CN" w:eastAsia="zh-CN" w:bidi="zh-CN"/>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5NzViMDAzOTI2MTg3YjQyZTIyNTFiYzY5MjA3OGQifQ=="/>
  </w:docVars>
  <w:rsids>
    <w:rsidRoot w:val="00361E7E"/>
    <w:rsid w:val="002D25BD"/>
    <w:rsid w:val="00361E7E"/>
    <w:rsid w:val="00495A62"/>
    <w:rsid w:val="005B6FB0"/>
    <w:rsid w:val="006C5050"/>
    <w:rsid w:val="00865C51"/>
    <w:rsid w:val="009138A1"/>
    <w:rsid w:val="00971711"/>
    <w:rsid w:val="0097520D"/>
    <w:rsid w:val="00985B6F"/>
    <w:rsid w:val="00AF4E9B"/>
    <w:rsid w:val="00D25C46"/>
    <w:rsid w:val="00E57B72"/>
    <w:rsid w:val="00F63E4E"/>
    <w:rsid w:val="00F74D3F"/>
    <w:rsid w:val="00FC252C"/>
    <w:rsid w:val="01522FB1"/>
    <w:rsid w:val="021F4B56"/>
    <w:rsid w:val="02B81ADF"/>
    <w:rsid w:val="030645FA"/>
    <w:rsid w:val="06482F0B"/>
    <w:rsid w:val="0A75078B"/>
    <w:rsid w:val="0A840AF8"/>
    <w:rsid w:val="0AB95133"/>
    <w:rsid w:val="0B5F6F57"/>
    <w:rsid w:val="0C3B7EEE"/>
    <w:rsid w:val="0E26718B"/>
    <w:rsid w:val="0FDE2C74"/>
    <w:rsid w:val="111B02EE"/>
    <w:rsid w:val="11B12A00"/>
    <w:rsid w:val="12532E48"/>
    <w:rsid w:val="13BF6E05"/>
    <w:rsid w:val="160947C5"/>
    <w:rsid w:val="1BA05E2B"/>
    <w:rsid w:val="1D8F1E47"/>
    <w:rsid w:val="21E63921"/>
    <w:rsid w:val="21FC1A76"/>
    <w:rsid w:val="220F17A9"/>
    <w:rsid w:val="23865D6B"/>
    <w:rsid w:val="266966CD"/>
    <w:rsid w:val="26A20644"/>
    <w:rsid w:val="297445E7"/>
    <w:rsid w:val="2B9605BE"/>
    <w:rsid w:val="2BA1455D"/>
    <w:rsid w:val="2C5467A0"/>
    <w:rsid w:val="2D7B22BC"/>
    <w:rsid w:val="2E5C7383"/>
    <w:rsid w:val="319F5C2A"/>
    <w:rsid w:val="325D2DB6"/>
    <w:rsid w:val="35344874"/>
    <w:rsid w:val="366652B8"/>
    <w:rsid w:val="39D35275"/>
    <w:rsid w:val="3CAE6101"/>
    <w:rsid w:val="3CB10B9B"/>
    <w:rsid w:val="3CE85C3C"/>
    <w:rsid w:val="3DCE3E6E"/>
    <w:rsid w:val="3DE77995"/>
    <w:rsid w:val="3DEF1607"/>
    <w:rsid w:val="3F0E31A9"/>
    <w:rsid w:val="3F0E62B4"/>
    <w:rsid w:val="418B4FF2"/>
    <w:rsid w:val="41DD5436"/>
    <w:rsid w:val="49803BA8"/>
    <w:rsid w:val="4DBC4B81"/>
    <w:rsid w:val="4EE93695"/>
    <w:rsid w:val="508D6F87"/>
    <w:rsid w:val="516D4984"/>
    <w:rsid w:val="52F76129"/>
    <w:rsid w:val="55C51BA3"/>
    <w:rsid w:val="564630CF"/>
    <w:rsid w:val="5CAE3391"/>
    <w:rsid w:val="5CAE3A93"/>
    <w:rsid w:val="5EFF7ED4"/>
    <w:rsid w:val="604065A3"/>
    <w:rsid w:val="62C5204E"/>
    <w:rsid w:val="64917C81"/>
    <w:rsid w:val="66A62C3A"/>
    <w:rsid w:val="66C10FC2"/>
    <w:rsid w:val="68863414"/>
    <w:rsid w:val="69423360"/>
    <w:rsid w:val="6B4E7E48"/>
    <w:rsid w:val="6C123652"/>
    <w:rsid w:val="6F073C75"/>
    <w:rsid w:val="73545094"/>
    <w:rsid w:val="746F4A04"/>
    <w:rsid w:val="75DC315C"/>
    <w:rsid w:val="7A175207"/>
    <w:rsid w:val="7CC5012D"/>
    <w:rsid w:val="7CDF77D4"/>
    <w:rsid w:val="7EB50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ind w:left="1180"/>
      <w:outlineLvl w:val="0"/>
    </w:pPr>
    <w:rPr>
      <w:rFonts w:ascii="宋体" w:hAnsi="宋体" w:eastAsia="宋体" w:cs="宋体"/>
      <w:sz w:val="44"/>
      <w:szCs w:val="44"/>
    </w:rPr>
  </w:style>
  <w:style w:type="paragraph" w:styleId="3">
    <w:name w:val="heading 2"/>
    <w:basedOn w:val="1"/>
    <w:next w:val="1"/>
    <w:qFormat/>
    <w:uiPriority w:val="1"/>
    <w:pPr>
      <w:spacing w:before="5"/>
      <w:ind w:left="1820"/>
      <w:outlineLvl w:val="1"/>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32"/>
      <w:szCs w:val="32"/>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styleId="10">
    <w:name w:val="Hyperlink"/>
    <w:basedOn w:val="9"/>
    <w:qFormat/>
    <w:uiPriority w:val="0"/>
    <w:rPr>
      <w:color w:val="0000FF"/>
      <w:u w:val="single"/>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spacing w:before="214"/>
      <w:ind w:left="1180" w:firstLine="640"/>
    </w:pPr>
  </w:style>
  <w:style w:type="paragraph" w:customStyle="1" w:styleId="13">
    <w:name w:val="Table Paragraph"/>
    <w:basedOn w:val="1"/>
    <w:qFormat/>
    <w:uiPriority w:val="1"/>
  </w:style>
  <w:style w:type="character" w:customStyle="1" w:styleId="14">
    <w:name w:val="批注框文本 字符"/>
    <w:basedOn w:val="9"/>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3433</Words>
  <Characters>3552</Characters>
  <Lines>29</Lines>
  <Paragraphs>8</Paragraphs>
  <TotalTime>3</TotalTime>
  <ScaleCrop>false</ScaleCrop>
  <LinksUpToDate>false</LinksUpToDate>
  <CharactersWithSpaces>3721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2022-11-15T01:59:00Z</dcterms:created>
  <dc:creator>征BJ李倩CWB</dc:creator>
  <cp:lastModifiedBy>徐珈琪</cp:lastModifiedBy>
  <cp:lastPrinted>2026-05-20T01:50:00Z</cp:lastPrinted>
  <dcterms:modified xsi:type="dcterms:W3CDTF">2026-05-20T06:13:26Z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2022-10-28T00:00:00Z</vt:filetime>
  </property>
  <property fmtid="{D5CDD505-2E9C-101B-9397-08002B2CF9AE}" pid="3" name="Creator">
    <vt:lpwstr>WPS 文字</vt:lpwstr>
  </property>
  <property fmtid="{D5CDD505-2E9C-101B-9397-08002B2CF9AE}" pid="4" name="LastSaved">
    <vt:filetime>2022-11-15T00:00:00Z</vt:filetime>
  </property>
  <property fmtid="{D5CDD505-2E9C-101B-9397-08002B2CF9AE}" pid="5" name="KSOProductBuildVer">
    <vt:lpwstr>2052-12.1.0.26375</vt:lpwstr>
  </property>
  <property fmtid="{D5CDD505-2E9C-101B-9397-08002B2CF9AE}" pid="6" name="ICV">
    <vt:lpwstr>5256B5507AEE4A448BEE360A748CA9CD</vt:lpwstr>
  </property>
  <property fmtid="{D5CDD505-2E9C-101B-9397-08002B2CF9AE}" pid="7" name="KSOTemplateDocerSaveRecord">
    <vt:lpwstr>eyJoZGlkIjoiN2U3OThmMTUyNjAzNWQ0NDI5ZDkzMzRiMDBiOTUyOGIiLCJ1c2VySWQiOiI1MDU3MTA0ODYifQ==</vt:lpwstr>
  </property>
</Properties>
</file>